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FC8" w:rsidRPr="00085279" w:rsidRDefault="00BB2FC8" w:rsidP="00085279">
      <w:pPr>
        <w:spacing w:line="276" w:lineRule="auto"/>
        <w:rPr>
          <w:szCs w:val="24"/>
        </w:rPr>
      </w:pPr>
    </w:p>
    <w:p w:rsidR="00085279" w:rsidRPr="00F972D7" w:rsidRDefault="00085279" w:rsidP="00085279">
      <w:pPr>
        <w:widowControl w:val="0"/>
        <w:spacing w:after="0"/>
        <w:rPr>
          <w:b/>
          <w:szCs w:val="24"/>
        </w:rPr>
      </w:pPr>
      <w:r w:rsidRPr="00F972D7">
        <w:rPr>
          <w:b/>
          <w:szCs w:val="24"/>
        </w:rPr>
        <w:t xml:space="preserve">BEFORE THE ODISHA ELECTRICITY REGULATORY COMMISSION, </w:t>
      </w:r>
      <w:r>
        <w:rPr>
          <w:b/>
          <w:szCs w:val="24"/>
        </w:rPr>
        <w:t>BHUBANESHWAR</w:t>
      </w:r>
    </w:p>
    <w:p w:rsidR="00085279" w:rsidRPr="00F972D7" w:rsidRDefault="00085279" w:rsidP="00085279">
      <w:pPr>
        <w:widowControl w:val="0"/>
        <w:spacing w:after="0"/>
        <w:rPr>
          <w:b/>
          <w:szCs w:val="24"/>
        </w:rPr>
      </w:pPr>
    </w:p>
    <w:p w:rsidR="00085279" w:rsidRPr="00F972D7" w:rsidRDefault="00085279" w:rsidP="00085279">
      <w:pPr>
        <w:widowControl w:val="0"/>
        <w:spacing w:after="0"/>
        <w:rPr>
          <w:szCs w:val="24"/>
        </w:rPr>
      </w:pPr>
      <w:r w:rsidRPr="00F972D7">
        <w:rPr>
          <w:szCs w:val="24"/>
        </w:rPr>
        <w:t xml:space="preserve">CASE No. </w:t>
      </w:r>
      <w:r>
        <w:rPr>
          <w:szCs w:val="24"/>
        </w:rPr>
        <w:t>7</w:t>
      </w:r>
      <w:r w:rsidR="00EE0C39">
        <w:rPr>
          <w:szCs w:val="24"/>
        </w:rPr>
        <w:t>5</w:t>
      </w:r>
      <w:r w:rsidRPr="00F972D7">
        <w:rPr>
          <w:szCs w:val="24"/>
        </w:rPr>
        <w:t xml:space="preserve"> of 20</w:t>
      </w:r>
      <w:r>
        <w:rPr>
          <w:szCs w:val="24"/>
        </w:rPr>
        <w:t>2</w:t>
      </w:r>
      <w:r w:rsidR="00EE0C39">
        <w:rPr>
          <w:szCs w:val="24"/>
        </w:rPr>
        <w:t>2</w:t>
      </w:r>
    </w:p>
    <w:p w:rsidR="00085279" w:rsidRPr="00F972D7" w:rsidRDefault="00085279" w:rsidP="00085279">
      <w:pPr>
        <w:widowControl w:val="0"/>
        <w:spacing w:after="0"/>
        <w:rPr>
          <w:szCs w:val="24"/>
        </w:rPr>
      </w:pPr>
    </w:p>
    <w:tbl>
      <w:tblPr>
        <w:tblW w:w="9322" w:type="dxa"/>
        <w:tblLook w:val="04A0"/>
      </w:tblPr>
      <w:tblGrid>
        <w:gridCol w:w="2977"/>
        <w:gridCol w:w="6345"/>
      </w:tblGrid>
      <w:tr w:rsidR="00085279" w:rsidRPr="00F972D7" w:rsidTr="00F55081">
        <w:trPr>
          <w:trHeight w:val="1154"/>
        </w:trPr>
        <w:tc>
          <w:tcPr>
            <w:tcW w:w="2977" w:type="dxa"/>
          </w:tcPr>
          <w:p w:rsidR="00085279" w:rsidRPr="00F972D7" w:rsidRDefault="00085279" w:rsidP="00F55081">
            <w:pPr>
              <w:widowControl w:val="0"/>
              <w:spacing w:after="0"/>
              <w:rPr>
                <w:szCs w:val="24"/>
              </w:rPr>
            </w:pPr>
            <w:bookmarkStart w:id="0" w:name="_Hlk331162810"/>
            <w:r w:rsidRPr="00F972D7">
              <w:rPr>
                <w:b/>
                <w:szCs w:val="24"/>
              </w:rPr>
              <w:t>IN THE MATTER OF</w:t>
            </w:r>
          </w:p>
        </w:tc>
        <w:tc>
          <w:tcPr>
            <w:tcW w:w="6345" w:type="dxa"/>
          </w:tcPr>
          <w:p w:rsidR="00085279" w:rsidRPr="00F972D7" w:rsidRDefault="00085279" w:rsidP="00085279">
            <w:pPr>
              <w:pStyle w:val="Verbatium"/>
              <w:keepNext w:val="0"/>
              <w:widowControl w:val="0"/>
              <w:ind w:left="0"/>
              <w:rPr>
                <w:i w:val="0"/>
              </w:rPr>
            </w:pPr>
            <w:r w:rsidRPr="00743AB9">
              <w:rPr>
                <w:i w:val="0"/>
                <w:sz w:val="24"/>
              </w:rPr>
              <w:t xml:space="preserve">Petition for </w:t>
            </w:r>
            <w:r>
              <w:rPr>
                <w:i w:val="0"/>
                <w:sz w:val="24"/>
              </w:rPr>
              <w:t>determination of Tariff for IB TPS Units 1 &amp; 2 for FY 202</w:t>
            </w:r>
            <w:r w:rsidR="00B807EB">
              <w:rPr>
                <w:i w:val="0"/>
                <w:sz w:val="24"/>
              </w:rPr>
              <w:t>3</w:t>
            </w:r>
            <w:r>
              <w:rPr>
                <w:i w:val="0"/>
                <w:sz w:val="24"/>
              </w:rPr>
              <w:t>-2</w:t>
            </w:r>
            <w:r w:rsidR="00B807EB">
              <w:rPr>
                <w:i w:val="0"/>
                <w:sz w:val="24"/>
              </w:rPr>
              <w:t>4</w:t>
            </w:r>
          </w:p>
        </w:tc>
      </w:tr>
      <w:bookmarkEnd w:id="0"/>
      <w:tr w:rsidR="00085279" w:rsidRPr="00F972D7" w:rsidTr="00F55081">
        <w:trPr>
          <w:trHeight w:val="362"/>
        </w:trPr>
        <w:tc>
          <w:tcPr>
            <w:tcW w:w="2977" w:type="dxa"/>
          </w:tcPr>
          <w:p w:rsidR="00085279" w:rsidRPr="00F972D7" w:rsidRDefault="00085279" w:rsidP="00F55081">
            <w:pPr>
              <w:widowControl w:val="0"/>
              <w:spacing w:after="0"/>
              <w:rPr>
                <w:szCs w:val="24"/>
              </w:rPr>
            </w:pPr>
          </w:p>
        </w:tc>
        <w:tc>
          <w:tcPr>
            <w:tcW w:w="6345" w:type="dxa"/>
          </w:tcPr>
          <w:p w:rsidR="00085279" w:rsidRPr="0041580D" w:rsidRDefault="00085279" w:rsidP="00F55081">
            <w:pPr>
              <w:widowControl w:val="0"/>
              <w:spacing w:after="0" w:line="240" w:lineRule="auto"/>
              <w:jc w:val="center"/>
              <w:outlineLvl w:val="2"/>
              <w:rPr>
                <w:b/>
                <w:szCs w:val="24"/>
              </w:rPr>
            </w:pPr>
            <w:r w:rsidRPr="0041580D">
              <w:rPr>
                <w:b/>
                <w:szCs w:val="24"/>
              </w:rPr>
              <w:t>AND</w:t>
            </w:r>
          </w:p>
        </w:tc>
      </w:tr>
      <w:tr w:rsidR="00085279" w:rsidRPr="00F972D7" w:rsidTr="00F55081">
        <w:trPr>
          <w:trHeight w:val="1204"/>
        </w:trPr>
        <w:tc>
          <w:tcPr>
            <w:tcW w:w="2977" w:type="dxa"/>
          </w:tcPr>
          <w:p w:rsidR="00085279" w:rsidRPr="00F972D7" w:rsidRDefault="00085279" w:rsidP="00F55081">
            <w:pPr>
              <w:widowControl w:val="0"/>
              <w:spacing w:after="0"/>
              <w:rPr>
                <w:szCs w:val="24"/>
              </w:rPr>
            </w:pPr>
            <w:r w:rsidRPr="00F972D7">
              <w:rPr>
                <w:b/>
                <w:szCs w:val="24"/>
              </w:rPr>
              <w:t>IN THE MATTER OF</w:t>
            </w:r>
          </w:p>
          <w:p w:rsidR="00085279" w:rsidRPr="00A13D91" w:rsidRDefault="00085279" w:rsidP="00F55081">
            <w:pPr>
              <w:widowControl w:val="0"/>
              <w:spacing w:after="0"/>
              <w:rPr>
                <w:rFonts w:eastAsia="Times New Roman"/>
                <w:b/>
                <w:bCs/>
                <w:szCs w:val="24"/>
              </w:rPr>
            </w:pPr>
            <w:r w:rsidRPr="00F972D7">
              <w:rPr>
                <w:b/>
                <w:szCs w:val="24"/>
              </w:rPr>
              <w:t>THE APPLICANT</w:t>
            </w:r>
          </w:p>
        </w:tc>
        <w:tc>
          <w:tcPr>
            <w:tcW w:w="6345" w:type="dxa"/>
          </w:tcPr>
          <w:p w:rsidR="00085279" w:rsidRPr="00F972D7" w:rsidRDefault="00085279" w:rsidP="00F55081">
            <w:pPr>
              <w:widowControl w:val="0"/>
              <w:spacing w:after="0"/>
              <w:rPr>
                <w:szCs w:val="24"/>
              </w:rPr>
            </w:pPr>
            <w:r w:rsidRPr="00F972D7">
              <w:rPr>
                <w:szCs w:val="24"/>
              </w:rPr>
              <w:t xml:space="preserve">Odisha Power Generation Corporation Ltd. (OPGC Ltd.), </w:t>
            </w:r>
          </w:p>
          <w:p w:rsidR="00085279" w:rsidRPr="00F972D7" w:rsidRDefault="00085279" w:rsidP="00F55081">
            <w:pPr>
              <w:widowControl w:val="0"/>
              <w:spacing w:after="0"/>
              <w:rPr>
                <w:szCs w:val="24"/>
              </w:rPr>
            </w:pPr>
            <w:r w:rsidRPr="00F972D7">
              <w:rPr>
                <w:szCs w:val="24"/>
              </w:rPr>
              <w:t>Zone-A, 7</w:t>
            </w:r>
            <w:r w:rsidRPr="00F972D7">
              <w:rPr>
                <w:szCs w:val="24"/>
                <w:vertAlign w:val="superscript"/>
              </w:rPr>
              <w:t>th</w:t>
            </w:r>
            <w:r w:rsidRPr="00F972D7">
              <w:rPr>
                <w:szCs w:val="24"/>
              </w:rPr>
              <w:t xml:space="preserve"> Floor, Fortune Towers, </w:t>
            </w:r>
            <w:proofErr w:type="spellStart"/>
            <w:r w:rsidRPr="00F972D7">
              <w:rPr>
                <w:szCs w:val="24"/>
              </w:rPr>
              <w:t>Chandrasekharpur</w:t>
            </w:r>
            <w:proofErr w:type="spellEnd"/>
            <w:r w:rsidRPr="00F972D7">
              <w:rPr>
                <w:szCs w:val="24"/>
              </w:rPr>
              <w:t>, Bhubaneswar-751023, Odisha, India</w:t>
            </w:r>
            <w:r>
              <w:rPr>
                <w:szCs w:val="24"/>
              </w:rPr>
              <w:t xml:space="preserve">……. </w:t>
            </w:r>
            <w:r w:rsidRPr="004B55EE">
              <w:rPr>
                <w:b/>
                <w:szCs w:val="24"/>
              </w:rPr>
              <w:t>Petitioner</w:t>
            </w:r>
          </w:p>
        </w:tc>
      </w:tr>
      <w:tr w:rsidR="00085279" w:rsidRPr="00F972D7" w:rsidTr="00F55081">
        <w:trPr>
          <w:trHeight w:val="428"/>
        </w:trPr>
        <w:tc>
          <w:tcPr>
            <w:tcW w:w="2977" w:type="dxa"/>
          </w:tcPr>
          <w:p w:rsidR="00085279" w:rsidRPr="00F972D7" w:rsidRDefault="00085279" w:rsidP="00F55081">
            <w:pPr>
              <w:widowControl w:val="0"/>
              <w:spacing w:after="0"/>
              <w:rPr>
                <w:b/>
                <w:szCs w:val="24"/>
              </w:rPr>
            </w:pPr>
          </w:p>
        </w:tc>
        <w:tc>
          <w:tcPr>
            <w:tcW w:w="6345" w:type="dxa"/>
          </w:tcPr>
          <w:p w:rsidR="00085279" w:rsidRPr="0041580D" w:rsidRDefault="00085279" w:rsidP="00F55081">
            <w:pPr>
              <w:widowControl w:val="0"/>
              <w:spacing w:after="0"/>
              <w:jc w:val="center"/>
              <w:rPr>
                <w:b/>
                <w:szCs w:val="24"/>
              </w:rPr>
            </w:pPr>
            <w:r w:rsidRPr="0041580D">
              <w:rPr>
                <w:b/>
                <w:szCs w:val="24"/>
              </w:rPr>
              <w:t>AND</w:t>
            </w:r>
          </w:p>
        </w:tc>
      </w:tr>
      <w:tr w:rsidR="00085279" w:rsidRPr="00F972D7" w:rsidTr="00F55081">
        <w:trPr>
          <w:trHeight w:val="704"/>
        </w:trPr>
        <w:tc>
          <w:tcPr>
            <w:tcW w:w="2977" w:type="dxa"/>
          </w:tcPr>
          <w:p w:rsidR="00085279" w:rsidRDefault="00085279" w:rsidP="00F55081">
            <w:pPr>
              <w:widowControl w:val="0"/>
              <w:spacing w:after="0"/>
              <w:rPr>
                <w:b/>
                <w:szCs w:val="24"/>
              </w:rPr>
            </w:pPr>
            <w:r>
              <w:rPr>
                <w:b/>
                <w:szCs w:val="24"/>
              </w:rPr>
              <w:t>IN THE MATTER OF</w:t>
            </w:r>
          </w:p>
        </w:tc>
        <w:tc>
          <w:tcPr>
            <w:tcW w:w="6345" w:type="dxa"/>
          </w:tcPr>
          <w:p w:rsidR="00085279" w:rsidRDefault="00085279" w:rsidP="00F55081">
            <w:pPr>
              <w:widowControl w:val="0"/>
              <w:spacing w:after="0"/>
              <w:rPr>
                <w:szCs w:val="24"/>
              </w:rPr>
            </w:pPr>
            <w:r>
              <w:rPr>
                <w:szCs w:val="24"/>
              </w:rPr>
              <w:t xml:space="preserve">Submission of information in response to the comments of </w:t>
            </w:r>
          </w:p>
          <w:p w:rsidR="00085279" w:rsidRDefault="00085279" w:rsidP="00F55081">
            <w:pPr>
              <w:widowControl w:val="0"/>
              <w:spacing w:after="0"/>
              <w:rPr>
                <w:szCs w:val="24"/>
              </w:rPr>
            </w:pPr>
            <w:r>
              <w:rPr>
                <w:szCs w:val="24"/>
              </w:rPr>
              <w:t xml:space="preserve">Shri. </w:t>
            </w:r>
            <w:r w:rsidR="005C3099">
              <w:rPr>
                <w:szCs w:val="24"/>
              </w:rPr>
              <w:t xml:space="preserve">Soumya Ranjan </w:t>
            </w:r>
            <w:proofErr w:type="spellStart"/>
            <w:r w:rsidR="005C3099">
              <w:rPr>
                <w:szCs w:val="24"/>
              </w:rPr>
              <w:t>Patnaik</w:t>
            </w:r>
            <w:proofErr w:type="spellEnd"/>
            <w:r w:rsidR="00412EE3">
              <w:rPr>
                <w:szCs w:val="24"/>
              </w:rPr>
              <w:t xml:space="preserve">, </w:t>
            </w:r>
            <w:proofErr w:type="spellStart"/>
            <w:r w:rsidR="00412EE3">
              <w:rPr>
                <w:szCs w:val="24"/>
              </w:rPr>
              <w:t>Hon’ble</w:t>
            </w:r>
            <w:proofErr w:type="spellEnd"/>
            <w:r w:rsidR="00412EE3">
              <w:rPr>
                <w:szCs w:val="24"/>
              </w:rPr>
              <w:t xml:space="preserve"> MLA, </w:t>
            </w:r>
            <w:proofErr w:type="spellStart"/>
            <w:r w:rsidR="00412EE3">
              <w:rPr>
                <w:szCs w:val="24"/>
              </w:rPr>
              <w:t>Khandapada</w:t>
            </w:r>
            <w:proofErr w:type="spellEnd"/>
          </w:p>
          <w:p w:rsidR="00085279" w:rsidRPr="00AD3198" w:rsidRDefault="00085279" w:rsidP="00F55081">
            <w:pPr>
              <w:widowControl w:val="0"/>
              <w:spacing w:after="0"/>
              <w:rPr>
                <w:szCs w:val="24"/>
              </w:rPr>
            </w:pPr>
          </w:p>
        </w:tc>
      </w:tr>
    </w:tbl>
    <w:p w:rsidR="00085279" w:rsidRPr="00F972D7" w:rsidRDefault="00085279" w:rsidP="00085279">
      <w:pPr>
        <w:widowControl w:val="0"/>
        <w:spacing w:after="0"/>
        <w:rPr>
          <w:szCs w:val="24"/>
        </w:rPr>
      </w:pPr>
      <w:r w:rsidRPr="00F972D7">
        <w:rPr>
          <w:b/>
          <w:szCs w:val="24"/>
        </w:rPr>
        <w:t>ODISHA POWER GENERATION CORPORATION LIMITED (“The Petitioner”) RESPECTFULLY SUBMITS AS FOLLOWS:</w:t>
      </w:r>
    </w:p>
    <w:p w:rsidR="001E796D" w:rsidRDefault="001E796D" w:rsidP="00085279">
      <w:pPr>
        <w:pStyle w:val="Heading2"/>
        <w:keepNext w:val="0"/>
        <w:widowControl w:val="0"/>
        <w:numPr>
          <w:ilvl w:val="0"/>
          <w:numId w:val="0"/>
        </w:numPr>
      </w:pPr>
    </w:p>
    <w:p w:rsidR="00085279" w:rsidRDefault="00085279" w:rsidP="00085279">
      <w:pPr>
        <w:pStyle w:val="Heading2"/>
        <w:keepNext w:val="0"/>
        <w:widowControl w:val="0"/>
        <w:numPr>
          <w:ilvl w:val="0"/>
          <w:numId w:val="0"/>
        </w:numPr>
        <w:rPr>
          <w:szCs w:val="24"/>
        </w:rPr>
      </w:pPr>
      <w:r w:rsidRPr="00F972D7">
        <w:t xml:space="preserve">Odisha Power Generation Corporation Limited (herein after referred as “OPGC” or “the Petitioner”) </w:t>
      </w:r>
      <w:r>
        <w:t>filed the Petition for determination of tariff for FY 202</w:t>
      </w:r>
      <w:r w:rsidR="00BA689C">
        <w:t>3</w:t>
      </w:r>
      <w:r>
        <w:t>-2</w:t>
      </w:r>
      <w:r w:rsidR="00BA689C">
        <w:t>4</w:t>
      </w:r>
      <w:r>
        <w:t xml:space="preserve">, before the Hon’ble Odisha Electricity Regulatory Commission (“OERC” or “Commission”) on November </w:t>
      </w:r>
      <w:r w:rsidR="00630640">
        <w:t>30</w:t>
      </w:r>
      <w:r>
        <w:t>, 202</w:t>
      </w:r>
      <w:r w:rsidR="00630640">
        <w:t>2</w:t>
      </w:r>
      <w:r>
        <w:t xml:space="preserve"> which have been registered as Case No. 7</w:t>
      </w:r>
      <w:r w:rsidR="00630640">
        <w:t>5</w:t>
      </w:r>
      <w:r>
        <w:t xml:space="preserve"> of 202</w:t>
      </w:r>
      <w:r w:rsidR="00630640">
        <w:t>2</w:t>
      </w:r>
      <w:r w:rsidRPr="00F972D7">
        <w:t>.</w:t>
      </w:r>
      <w:r w:rsidR="00630640">
        <w:t xml:space="preserve"> </w:t>
      </w:r>
      <w:r>
        <w:rPr>
          <w:szCs w:val="24"/>
        </w:rPr>
        <w:t xml:space="preserve">Shri. </w:t>
      </w:r>
      <w:r w:rsidR="0007145D">
        <w:rPr>
          <w:szCs w:val="24"/>
        </w:rPr>
        <w:t xml:space="preserve">Soumya Ranjan </w:t>
      </w:r>
      <w:proofErr w:type="spellStart"/>
      <w:r w:rsidR="0007145D">
        <w:rPr>
          <w:szCs w:val="24"/>
        </w:rPr>
        <w:t>Patnaik</w:t>
      </w:r>
      <w:proofErr w:type="spellEnd"/>
      <w:r w:rsidR="00412EE3">
        <w:rPr>
          <w:szCs w:val="24"/>
        </w:rPr>
        <w:t xml:space="preserve">, </w:t>
      </w:r>
      <w:proofErr w:type="spellStart"/>
      <w:r w:rsidR="00412EE3">
        <w:rPr>
          <w:szCs w:val="24"/>
        </w:rPr>
        <w:t>Hon’ble</w:t>
      </w:r>
      <w:proofErr w:type="spellEnd"/>
      <w:r w:rsidR="00412EE3">
        <w:rPr>
          <w:szCs w:val="24"/>
        </w:rPr>
        <w:t xml:space="preserve"> MLA, </w:t>
      </w:r>
      <w:proofErr w:type="spellStart"/>
      <w:r w:rsidR="00412EE3">
        <w:rPr>
          <w:szCs w:val="24"/>
        </w:rPr>
        <w:t>Khandapada</w:t>
      </w:r>
      <w:proofErr w:type="spellEnd"/>
      <w:r>
        <w:rPr>
          <w:szCs w:val="24"/>
        </w:rPr>
        <w:t xml:space="preserve"> vide Affidavit dated January </w:t>
      </w:r>
      <w:r w:rsidRPr="00821A80">
        <w:rPr>
          <w:szCs w:val="24"/>
        </w:rPr>
        <w:t>1</w:t>
      </w:r>
      <w:r w:rsidR="00867034">
        <w:rPr>
          <w:szCs w:val="24"/>
        </w:rPr>
        <w:t>9</w:t>
      </w:r>
      <w:r w:rsidRPr="00821A80">
        <w:rPr>
          <w:szCs w:val="24"/>
        </w:rPr>
        <w:t>, 202</w:t>
      </w:r>
      <w:r w:rsidR="00867034">
        <w:rPr>
          <w:szCs w:val="24"/>
        </w:rPr>
        <w:t>3</w:t>
      </w:r>
      <w:r>
        <w:rPr>
          <w:szCs w:val="24"/>
        </w:rPr>
        <w:t xml:space="preserve"> submitted objections/suggestions with the following prayer</w:t>
      </w:r>
      <w:r w:rsidR="0007145D">
        <w:rPr>
          <w:szCs w:val="24"/>
        </w:rPr>
        <w:t>s</w:t>
      </w:r>
      <w:r>
        <w:rPr>
          <w:szCs w:val="24"/>
        </w:rPr>
        <w:t>:</w:t>
      </w:r>
    </w:p>
    <w:p w:rsidR="0007145D" w:rsidRDefault="00085279" w:rsidP="00085279">
      <w:pPr>
        <w:ind w:left="720"/>
        <w:rPr>
          <w:i/>
          <w:lang w:val="en-GB"/>
        </w:rPr>
      </w:pPr>
      <w:r>
        <w:rPr>
          <w:i/>
          <w:lang w:val="en-GB"/>
        </w:rPr>
        <w:t>“</w:t>
      </w:r>
      <w:r w:rsidR="0007145D">
        <w:rPr>
          <w:i/>
          <w:lang w:val="en-GB"/>
        </w:rPr>
        <w:t>…</w:t>
      </w:r>
    </w:p>
    <w:p w:rsidR="0007145D" w:rsidRDefault="0007145D" w:rsidP="0007145D">
      <w:pPr>
        <w:ind w:left="720"/>
        <w:rPr>
          <w:i/>
          <w:lang w:val="en-GB"/>
        </w:rPr>
      </w:pPr>
      <w:r>
        <w:rPr>
          <w:i/>
          <w:lang w:val="en-GB"/>
        </w:rPr>
        <w:t xml:space="preserve">iii. </w:t>
      </w:r>
      <w:r w:rsidRPr="0007145D">
        <w:rPr>
          <w:i/>
          <w:lang w:val="en-GB"/>
        </w:rPr>
        <w:t>to pass an order for implementation of the directives of the Odisha Renewable</w:t>
      </w:r>
      <w:r>
        <w:rPr>
          <w:i/>
          <w:lang w:val="en-GB"/>
        </w:rPr>
        <w:t xml:space="preserve"> </w:t>
      </w:r>
      <w:r w:rsidRPr="0007145D">
        <w:rPr>
          <w:i/>
          <w:lang w:val="en-GB"/>
        </w:rPr>
        <w:t>Energy Policy, 2022</w:t>
      </w:r>
      <w:r>
        <w:rPr>
          <w:i/>
          <w:lang w:val="en-GB"/>
        </w:rPr>
        <w:t>.</w:t>
      </w:r>
    </w:p>
    <w:p w:rsidR="0007145D" w:rsidRDefault="0007145D" w:rsidP="0007145D">
      <w:pPr>
        <w:ind w:left="720"/>
        <w:rPr>
          <w:i/>
          <w:lang w:val="en-GB"/>
        </w:rPr>
      </w:pPr>
      <w:r>
        <w:rPr>
          <w:i/>
          <w:lang w:val="en-GB"/>
        </w:rPr>
        <w:t xml:space="preserve">iv. </w:t>
      </w:r>
      <w:r w:rsidRPr="0007145D">
        <w:rPr>
          <w:i/>
          <w:lang w:val="en-GB"/>
        </w:rPr>
        <w:t>to dispose of the multiyear tariff Petition filed by the Petitioner for Stage-II, 1320</w:t>
      </w:r>
      <w:r>
        <w:rPr>
          <w:i/>
          <w:lang w:val="en-GB"/>
        </w:rPr>
        <w:t xml:space="preserve"> </w:t>
      </w:r>
      <w:r w:rsidRPr="0007145D">
        <w:rPr>
          <w:i/>
          <w:lang w:val="en-GB"/>
        </w:rPr>
        <w:t>MW Power station.</w:t>
      </w:r>
    </w:p>
    <w:p w:rsidR="00085279" w:rsidRPr="00736435" w:rsidRDefault="0007145D" w:rsidP="0007145D">
      <w:pPr>
        <w:ind w:left="720"/>
        <w:rPr>
          <w:i/>
          <w:lang w:val="en-GB"/>
        </w:rPr>
      </w:pPr>
      <w:r>
        <w:rPr>
          <w:i/>
          <w:lang w:val="en-GB"/>
        </w:rPr>
        <w:t>…</w:t>
      </w:r>
      <w:r w:rsidR="00085279">
        <w:rPr>
          <w:i/>
          <w:lang w:val="en-GB"/>
        </w:rPr>
        <w:t>”</w:t>
      </w:r>
    </w:p>
    <w:p w:rsidR="00085279" w:rsidRDefault="00085279" w:rsidP="00085279">
      <w:pPr>
        <w:pStyle w:val="Heading2"/>
        <w:keepNext w:val="0"/>
        <w:widowControl w:val="0"/>
        <w:numPr>
          <w:ilvl w:val="0"/>
          <w:numId w:val="0"/>
        </w:numPr>
        <w:rPr>
          <w:lang w:val="en-US"/>
        </w:rPr>
      </w:pPr>
      <w:r w:rsidRPr="00C35CEE">
        <w:rPr>
          <w:lang w:val="en-US"/>
        </w:rPr>
        <w:lastRenderedPageBreak/>
        <w:t xml:space="preserve">The Petitioner specifically denies every </w:t>
      </w:r>
      <w:proofErr w:type="gramStart"/>
      <w:r w:rsidRPr="00C35CEE">
        <w:rPr>
          <w:lang w:val="en-US"/>
        </w:rPr>
        <w:t>averment,</w:t>
      </w:r>
      <w:proofErr w:type="gramEnd"/>
      <w:r w:rsidRPr="00C35CEE">
        <w:rPr>
          <w:lang w:val="en-US"/>
        </w:rPr>
        <w:t xml:space="preserve"> allegation and assertion made by the stakeholder save where expressly stated otherwise or insofar as they pertain to matters of record. Further, it is submitted that nothing in the instant submission ought to be construed as an admission on the part of the Petitioner unless expressly so stated. The Petitioner reiterates and affirms the contents of the captioned Petition and the same may be read as part and parcel of the instant submissions. The Petitioner craves leave to make additional submissions in response to objections raised by any of the Stakeholder, should the need arise.</w:t>
      </w:r>
    </w:p>
    <w:p w:rsidR="00085279" w:rsidRDefault="00085279" w:rsidP="00085279"/>
    <w:p w:rsidR="00085279" w:rsidRDefault="00085279" w:rsidP="00085279">
      <w:pPr>
        <w:rPr>
          <w:b/>
          <w:i/>
          <w:lang w:val="en-US"/>
        </w:rPr>
      </w:pPr>
      <w:r>
        <w:t>The replies to the comments of the Stakeholder are being submitted below:</w:t>
      </w:r>
    </w:p>
    <w:p w:rsidR="00085279" w:rsidRDefault="00085279" w:rsidP="00085279">
      <w:pPr>
        <w:rPr>
          <w:b/>
          <w:i/>
          <w:lang w:val="en-US"/>
        </w:rPr>
      </w:pPr>
      <w:r w:rsidRPr="003B0CCD">
        <w:rPr>
          <w:b/>
          <w:lang w:val="en-US"/>
        </w:rPr>
        <w:t>Stakeholder’s comment:</w:t>
      </w:r>
      <w:r>
        <w:rPr>
          <w:b/>
          <w:i/>
          <w:lang w:val="en-US"/>
        </w:rPr>
        <w:t xml:space="preserve"> “</w:t>
      </w:r>
      <w:r w:rsidR="00987F43">
        <w:rPr>
          <w:b/>
          <w:i/>
          <w:lang w:val="en-US"/>
        </w:rPr>
        <w:t>6… The Petitioner is required to file the forecasted ARR for each year of the control period along with the Tariff Petition for the ensuing FY24 but this has not been fulfilled by the Petitioner in the instant proceeding…</w:t>
      </w:r>
      <w:r>
        <w:rPr>
          <w:b/>
          <w:i/>
          <w:lang w:val="en-US"/>
        </w:rPr>
        <w:t>”</w:t>
      </w:r>
    </w:p>
    <w:p w:rsidR="00DE2381" w:rsidRDefault="00DE2381" w:rsidP="00085279">
      <w:pPr>
        <w:rPr>
          <w:b/>
          <w:i/>
          <w:lang w:val="en-US"/>
        </w:rPr>
      </w:pPr>
      <w:r>
        <w:rPr>
          <w:b/>
          <w:i/>
          <w:lang w:val="en-US"/>
        </w:rPr>
        <w:t>“7… Therefore, the Petitioner is urged upon to submit necessary data in view of the above regulations in the instant proceeding well in advance…”</w:t>
      </w:r>
    </w:p>
    <w:p w:rsidR="001D09CD" w:rsidRDefault="001D09CD" w:rsidP="001D09CD">
      <w:pPr>
        <w:rPr>
          <w:b/>
          <w:i/>
          <w:lang w:val="en-US"/>
        </w:rPr>
      </w:pPr>
      <w:r>
        <w:rPr>
          <w:b/>
          <w:i/>
          <w:lang w:val="en-US"/>
        </w:rPr>
        <w:t xml:space="preserve">“8… </w:t>
      </w:r>
      <w:r w:rsidRPr="001D09CD">
        <w:rPr>
          <w:b/>
          <w:i/>
          <w:lang w:val="en-US"/>
        </w:rPr>
        <w:t>In the instant Petition for</w:t>
      </w:r>
      <w:r>
        <w:rPr>
          <w:b/>
          <w:i/>
          <w:lang w:val="en-US"/>
        </w:rPr>
        <w:t xml:space="preserve"> </w:t>
      </w:r>
      <w:r w:rsidRPr="001D09CD">
        <w:rPr>
          <w:b/>
          <w:i/>
          <w:lang w:val="en-US"/>
        </w:rPr>
        <w:t>determination of generation tariff for ensuing FY24, the Petitioner does not file the truing</w:t>
      </w:r>
      <w:r>
        <w:rPr>
          <w:b/>
          <w:i/>
          <w:lang w:val="en-US"/>
        </w:rPr>
        <w:t xml:space="preserve"> </w:t>
      </w:r>
      <w:r w:rsidRPr="001D09CD">
        <w:rPr>
          <w:b/>
          <w:i/>
          <w:lang w:val="en-US"/>
        </w:rPr>
        <w:t>up exercise for the previous FY22</w:t>
      </w:r>
      <w:r>
        <w:rPr>
          <w:b/>
          <w:i/>
          <w:lang w:val="en-US"/>
        </w:rPr>
        <w:t>…”</w:t>
      </w:r>
    </w:p>
    <w:p w:rsidR="00FD4730" w:rsidRPr="003C0305" w:rsidRDefault="00FD4730" w:rsidP="00FD4730">
      <w:pPr>
        <w:rPr>
          <w:b/>
          <w:i/>
          <w:lang w:val="en-US"/>
        </w:rPr>
      </w:pPr>
      <w:r>
        <w:rPr>
          <w:b/>
          <w:i/>
          <w:lang w:val="en-US"/>
        </w:rPr>
        <w:t xml:space="preserve">“9… </w:t>
      </w:r>
      <w:r w:rsidRPr="00FD4730">
        <w:rPr>
          <w:b/>
          <w:i/>
          <w:lang w:val="en-US"/>
        </w:rPr>
        <w:t>Though, the OERC Generation Tariff Regulations’ 2020 effective for current Tariff</w:t>
      </w:r>
      <w:r>
        <w:rPr>
          <w:b/>
          <w:i/>
          <w:lang w:val="en-US"/>
        </w:rPr>
        <w:t xml:space="preserve"> </w:t>
      </w:r>
      <w:r w:rsidRPr="00FD4730">
        <w:rPr>
          <w:b/>
          <w:i/>
          <w:lang w:val="en-US"/>
        </w:rPr>
        <w:t>Period from FY-21 to FY-24 specify same modalities with respect to the MYT principle</w:t>
      </w:r>
      <w:r>
        <w:rPr>
          <w:b/>
          <w:i/>
          <w:lang w:val="en-US"/>
        </w:rPr>
        <w:t xml:space="preserve"> </w:t>
      </w:r>
      <w:r w:rsidRPr="00FD4730">
        <w:rPr>
          <w:b/>
          <w:i/>
          <w:lang w:val="en-US"/>
        </w:rPr>
        <w:t>for Tariff determination as notified for previous Tariff period but the Petitioner OPGC</w:t>
      </w:r>
      <w:r>
        <w:rPr>
          <w:b/>
          <w:i/>
          <w:lang w:val="en-US"/>
        </w:rPr>
        <w:t xml:space="preserve"> </w:t>
      </w:r>
      <w:r w:rsidRPr="00FD4730">
        <w:rPr>
          <w:b/>
          <w:i/>
          <w:lang w:val="en-US"/>
        </w:rPr>
        <w:t>Ltd has violated again in the instant proceeding</w:t>
      </w:r>
      <w:r>
        <w:rPr>
          <w:b/>
          <w:i/>
          <w:lang w:val="en-US"/>
        </w:rPr>
        <w:t>…”</w:t>
      </w:r>
    </w:p>
    <w:p w:rsidR="00085279" w:rsidRDefault="00085279" w:rsidP="00085279">
      <w:pPr>
        <w:rPr>
          <w:lang w:val="en-US"/>
        </w:rPr>
      </w:pPr>
      <w:r w:rsidRPr="002707B6">
        <w:rPr>
          <w:b/>
          <w:lang w:val="en-US"/>
        </w:rPr>
        <w:t>OPGC’s reply:</w:t>
      </w:r>
      <w:r w:rsidR="00B1244C">
        <w:rPr>
          <w:lang w:val="en-US"/>
        </w:rPr>
        <w:t xml:space="preserve"> </w:t>
      </w:r>
      <w:r w:rsidR="00B1244C" w:rsidRPr="00B1244C">
        <w:rPr>
          <w:lang w:val="en-US"/>
        </w:rPr>
        <w:t>Regulation 7(6) of OERC Generation Tariff Regulations, 2020 stipulates as follows:</w:t>
      </w:r>
    </w:p>
    <w:p w:rsidR="00B1244C" w:rsidRPr="00B1244C" w:rsidRDefault="00B1244C" w:rsidP="00B41361">
      <w:pPr>
        <w:ind w:left="720"/>
        <w:rPr>
          <w:i/>
          <w:iCs/>
        </w:rPr>
      </w:pPr>
      <w:r w:rsidRPr="00B1244C">
        <w:rPr>
          <w:i/>
          <w:iCs/>
        </w:rPr>
        <w:t xml:space="preserve">“Notwithstanding anything contained above the existing generation plants of OHPC and OPGC (UNIT-I &amp; II) may make an application as per the Format prescribed by the Commission for determination of tariff as per annual schedule, by November 30th of every year for determination of tariff in respect of the units of the generating station. </w:t>
      </w:r>
    </w:p>
    <w:p w:rsidR="00B1244C" w:rsidRPr="00B1244C" w:rsidRDefault="00B1244C" w:rsidP="00B41361">
      <w:pPr>
        <w:ind w:left="720"/>
        <w:rPr>
          <w:i/>
          <w:iCs/>
        </w:rPr>
      </w:pPr>
      <w:r w:rsidRPr="00B1244C">
        <w:rPr>
          <w:i/>
          <w:iCs/>
        </w:rPr>
        <w:t xml:space="preserve">Provided that the OHPC and OPGC (Unit - I &amp; II) shall make an application as per the prescribed Format with necessary information and explanations, for determination of tariff based on capital expenditure incurred duly certified by the </w:t>
      </w:r>
      <w:r w:rsidRPr="00B1244C">
        <w:rPr>
          <w:i/>
          <w:iCs/>
        </w:rPr>
        <w:lastRenderedPageBreak/>
        <w:t xml:space="preserve">auditors or projected to be incurred up to the date of commercial operation and additional capital expenditure incurred duly certified by the auditors or projected to be incurred during the period for which application for determination of tariff is filed of the generating station: </w:t>
      </w:r>
    </w:p>
    <w:p w:rsidR="00B1244C" w:rsidRPr="00D607CE" w:rsidRDefault="00B1244C" w:rsidP="00B41361">
      <w:pPr>
        <w:ind w:left="720"/>
      </w:pPr>
      <w:r w:rsidRPr="00B1244C">
        <w:rPr>
          <w:i/>
          <w:iCs/>
        </w:rPr>
        <w:t>Provided further that application shall contain details of underlying assumptions for projected capital cost and additional capital expenditure, wherever applicable.”</w:t>
      </w:r>
    </w:p>
    <w:p w:rsidR="00643524" w:rsidRDefault="00B41361" w:rsidP="00643524">
      <w:pPr>
        <w:rPr>
          <w:lang w:val="en-US"/>
        </w:rPr>
      </w:pPr>
      <w:r>
        <w:rPr>
          <w:lang w:val="en-US"/>
        </w:rPr>
        <w:t xml:space="preserve">In accordance with Regulation 7(6) reproduced above, OPGC has filed the </w:t>
      </w:r>
      <w:r w:rsidR="00957BE7">
        <w:rPr>
          <w:lang w:val="en-US"/>
        </w:rPr>
        <w:t xml:space="preserve">instant </w:t>
      </w:r>
      <w:r>
        <w:rPr>
          <w:lang w:val="en-US"/>
        </w:rPr>
        <w:t>tariff petition for FY 2023-24</w:t>
      </w:r>
      <w:r w:rsidR="00957BE7">
        <w:rPr>
          <w:lang w:val="en-US"/>
        </w:rPr>
        <w:t>.</w:t>
      </w:r>
    </w:p>
    <w:p w:rsidR="00257537" w:rsidRDefault="00257537" w:rsidP="00643524">
      <w:pPr>
        <w:rPr>
          <w:szCs w:val="24"/>
        </w:rPr>
      </w:pPr>
      <w:r w:rsidRPr="00BD2E3A">
        <w:rPr>
          <w:szCs w:val="24"/>
        </w:rPr>
        <w:t xml:space="preserve">Further, Hon’ble Commission vide order dated May 21, 2021 in Petition No. 54 of 2018 disallowed </w:t>
      </w:r>
      <w:r>
        <w:rPr>
          <w:szCs w:val="24"/>
        </w:rPr>
        <w:t xml:space="preserve">claimed </w:t>
      </w:r>
      <w:r w:rsidRPr="00BD2E3A">
        <w:rPr>
          <w:szCs w:val="24"/>
        </w:rPr>
        <w:t xml:space="preserve">actual additional </w:t>
      </w:r>
      <w:r>
        <w:rPr>
          <w:szCs w:val="24"/>
        </w:rPr>
        <w:t>capitalisation</w:t>
      </w:r>
      <w:r w:rsidRPr="00BD2E3A">
        <w:rPr>
          <w:szCs w:val="24"/>
        </w:rPr>
        <w:t xml:space="preserve"> for FY 2015-16 to FY 2017-18 and proposed additional capital expenditure for FY 2018-19. OPGC has filed an Appeal </w:t>
      </w:r>
      <w:r>
        <w:rPr>
          <w:szCs w:val="24"/>
        </w:rPr>
        <w:t xml:space="preserve">before Hon’ble Appellate Tribunal for Electricity (APTEL) </w:t>
      </w:r>
      <w:r w:rsidRPr="00BD2E3A">
        <w:rPr>
          <w:szCs w:val="24"/>
        </w:rPr>
        <w:t xml:space="preserve">on November 15, 2021, </w:t>
      </w:r>
      <w:r w:rsidRPr="00C95871">
        <w:rPr>
          <w:szCs w:val="24"/>
        </w:rPr>
        <w:t>as Appeal No. 335/2021</w:t>
      </w:r>
      <w:r w:rsidRPr="00BD2E3A">
        <w:rPr>
          <w:szCs w:val="24"/>
        </w:rPr>
        <w:t xml:space="preserve"> against this Hon’ble Commission’s Order dated </w:t>
      </w:r>
      <w:r>
        <w:rPr>
          <w:szCs w:val="24"/>
        </w:rPr>
        <w:t>May 21, 2021</w:t>
      </w:r>
      <w:r w:rsidRPr="00BD2E3A">
        <w:rPr>
          <w:szCs w:val="24"/>
        </w:rPr>
        <w:t xml:space="preserve"> in Case No. </w:t>
      </w:r>
      <w:r>
        <w:rPr>
          <w:szCs w:val="24"/>
        </w:rPr>
        <w:t>54</w:t>
      </w:r>
      <w:r w:rsidRPr="00BD2E3A">
        <w:rPr>
          <w:szCs w:val="24"/>
        </w:rPr>
        <w:t xml:space="preserve"> of 201</w:t>
      </w:r>
      <w:r>
        <w:rPr>
          <w:szCs w:val="24"/>
        </w:rPr>
        <w:t>8</w:t>
      </w:r>
      <w:r w:rsidRPr="00BD2E3A">
        <w:rPr>
          <w:szCs w:val="24"/>
        </w:rPr>
        <w:t>.</w:t>
      </w:r>
      <w:r>
        <w:rPr>
          <w:szCs w:val="24"/>
        </w:rPr>
        <w:t xml:space="preserve"> The matter was last heard by the Registrar on November 23, 2022. The matter is listed for hearing on January 27, 2023.</w:t>
      </w:r>
    </w:p>
    <w:p w:rsidR="00F57BE4" w:rsidRDefault="00F57BE4" w:rsidP="00643524">
      <w:r>
        <w:t xml:space="preserve">In the instant Petition, OPGC has not claimed actual additional capitalisation for FY 2020-21, FY 2021-22 and projected additional capitalisation for FY 2022-23 and FY 2023-24. Based on the outcome of the Appeal filed against the Hon’ble Commission’s order in Case No. 54 of 2018, OPGC will approach the Hon’ble Commission for approval of actual additional capitalisation for FY 2015-16 to FY 2021-22 and projected additional capitalisation for FY 2022-23 and FY 2023-24 through a </w:t>
      </w:r>
      <w:r w:rsidR="00412EE3">
        <w:t xml:space="preserve">separate true up </w:t>
      </w:r>
      <w:r>
        <w:t>petition</w:t>
      </w:r>
      <w:r w:rsidR="00412EE3">
        <w:t>, if the Appeal goes in OPGC’s favour</w:t>
      </w:r>
    </w:p>
    <w:p w:rsidR="00B74874" w:rsidRDefault="00F86C94" w:rsidP="00643524">
      <w:r>
        <w:t xml:space="preserve">From the above, it is amply clear that </w:t>
      </w:r>
      <w:r w:rsidR="00436EF1">
        <w:t xml:space="preserve">the instant tariff petition has been filed in accordance with </w:t>
      </w:r>
      <w:r w:rsidR="00B74874">
        <w:t xml:space="preserve">the </w:t>
      </w:r>
      <w:r w:rsidR="00243C30" w:rsidRPr="00AB3B86">
        <w:t>stipulations</w:t>
      </w:r>
      <w:r w:rsidR="00243C30">
        <w:t xml:space="preserve"> in the </w:t>
      </w:r>
      <w:r w:rsidR="00B74874">
        <w:t>Regulations</w:t>
      </w:r>
      <w:r w:rsidR="00243C30">
        <w:t>.</w:t>
      </w:r>
    </w:p>
    <w:p w:rsidR="00197471" w:rsidRPr="003C0305" w:rsidRDefault="00DD5580" w:rsidP="00DD5580">
      <w:pPr>
        <w:rPr>
          <w:b/>
          <w:i/>
          <w:lang w:val="en-US"/>
        </w:rPr>
      </w:pPr>
      <w:r w:rsidRPr="003B0CCD">
        <w:rPr>
          <w:b/>
          <w:lang w:val="en-US"/>
        </w:rPr>
        <w:t>Stakeholder’s comment:</w:t>
      </w:r>
      <w:r>
        <w:rPr>
          <w:b/>
          <w:i/>
          <w:lang w:val="en-US"/>
        </w:rPr>
        <w:t xml:space="preserve"> </w:t>
      </w:r>
      <w:r w:rsidR="001D09CD">
        <w:rPr>
          <w:b/>
          <w:i/>
          <w:lang w:val="en-US"/>
        </w:rPr>
        <w:t>“</w:t>
      </w:r>
      <w:r w:rsidR="00210FE9">
        <w:rPr>
          <w:b/>
          <w:i/>
          <w:lang w:val="en-US"/>
        </w:rPr>
        <w:t xml:space="preserve">11. </w:t>
      </w:r>
      <w:r w:rsidR="00210FE9" w:rsidRPr="00C323D1">
        <w:rPr>
          <w:b/>
          <w:i/>
          <w:u w:val="single"/>
          <w:lang w:val="en-US"/>
        </w:rPr>
        <w:t>Non-Tariff Income (NTI)</w:t>
      </w:r>
      <w:r w:rsidR="00197471">
        <w:rPr>
          <w:b/>
          <w:i/>
          <w:lang w:val="en-US"/>
        </w:rPr>
        <w:t xml:space="preserve"> …”</w:t>
      </w:r>
    </w:p>
    <w:p w:rsidR="00B355CF" w:rsidRDefault="00DD5580" w:rsidP="00B355CF">
      <w:pPr>
        <w:spacing w:after="240"/>
      </w:pPr>
      <w:r w:rsidRPr="002707B6">
        <w:rPr>
          <w:b/>
          <w:lang w:val="en-US"/>
        </w:rPr>
        <w:t>OPGC’s reply:</w:t>
      </w:r>
      <w:r>
        <w:rPr>
          <w:lang w:val="en-US"/>
        </w:rPr>
        <w:t xml:space="preserve"> </w:t>
      </w:r>
      <w:r w:rsidR="00B355CF">
        <w:t xml:space="preserve">The Hon’ble Supreme Court vide its Judgment dated April 19, 2018 </w:t>
      </w:r>
      <w:r w:rsidR="00B355CF" w:rsidRPr="00B22F29">
        <w:t>has held that primarily the</w:t>
      </w:r>
      <w:r w:rsidR="00B355CF">
        <w:t xml:space="preserve"> tariff norms under the</w:t>
      </w:r>
      <w:r w:rsidR="00B355CF" w:rsidRPr="00B22F29">
        <w:t xml:space="preserve"> PPA</w:t>
      </w:r>
      <w:r w:rsidR="00B355CF">
        <w:t xml:space="preserve"> are to be followed in determining OPGC’s tariff. Further,</w:t>
      </w:r>
      <w:r w:rsidR="00B355CF" w:rsidRPr="00B22F29">
        <w:t xml:space="preserve"> to the extent there are tariff norms not covered by the PPA, the Tariff Regulations may be relied upon by the </w:t>
      </w:r>
      <w:r w:rsidR="00B355CF">
        <w:t xml:space="preserve">OERC to determine OPGC’s tariff. It is submitted that the effect of the SC’s Judgment is that this arrangement would apply for the entire term of the </w:t>
      </w:r>
      <w:r w:rsidR="00B355CF">
        <w:lastRenderedPageBreak/>
        <w:t>subsistence of the PPA viz. till 30.06.2026. The relevant extract of the Judgment of the Hon’ble SC is reproduced below:</w:t>
      </w:r>
    </w:p>
    <w:p w:rsidR="00B355CF" w:rsidRPr="00B355CF" w:rsidRDefault="00B355CF" w:rsidP="00B355CF">
      <w:pPr>
        <w:pStyle w:val="Verbatium"/>
        <w:rPr>
          <w:sz w:val="24"/>
          <w:szCs w:val="24"/>
        </w:rPr>
      </w:pPr>
      <w:r w:rsidRPr="00B355CF">
        <w:rPr>
          <w:sz w:val="24"/>
          <w:szCs w:val="24"/>
        </w:rPr>
        <w:t xml:space="preserve">“6. </w:t>
      </w:r>
      <w:r w:rsidRPr="00B355CF">
        <w:rPr>
          <w:sz w:val="24"/>
          <w:szCs w:val="24"/>
        </w:rPr>
        <w:tab/>
        <w:t>We are of the view that the Commission vide Order dated 27.04.2015 on the joint application of the parties dated 26.02.2014 rightly fixed the tariff but the view taken in subsequent order dated 21.03.2016 which has been upheld on appeal is unsustainable.</w:t>
      </w:r>
    </w:p>
    <w:p w:rsidR="00B355CF" w:rsidRPr="00B355CF" w:rsidRDefault="00B355CF" w:rsidP="00B355CF">
      <w:pPr>
        <w:pStyle w:val="Verbatium"/>
        <w:rPr>
          <w:sz w:val="24"/>
          <w:szCs w:val="24"/>
        </w:rPr>
      </w:pPr>
      <w:r w:rsidRPr="00B355CF">
        <w:rPr>
          <w:sz w:val="24"/>
          <w:szCs w:val="24"/>
        </w:rPr>
        <w:t xml:space="preserve">7. </w:t>
      </w:r>
      <w:r w:rsidRPr="00B355CF">
        <w:rPr>
          <w:sz w:val="24"/>
          <w:szCs w:val="24"/>
        </w:rPr>
        <w:tab/>
        <w:t xml:space="preserve">Accordingly, we set aside the impugned order and remand the matter to the State Commission for fresh decision. </w:t>
      </w:r>
      <w:r w:rsidRPr="00885E76">
        <w:rPr>
          <w:sz w:val="24"/>
          <w:szCs w:val="24"/>
          <w:u w:val="single"/>
        </w:rPr>
        <w:t>The State Commission may take into account the Notification dated 21.06.2008 for the fixed costs, the PPA for the variable costs specified therein and for other costs not reflected in the PPA, statutory Regulations may be applied</w:t>
      </w:r>
      <w:r w:rsidRPr="00B355CF">
        <w:rPr>
          <w:sz w:val="24"/>
          <w:szCs w:val="24"/>
        </w:rPr>
        <w:t>.</w:t>
      </w:r>
    </w:p>
    <w:p w:rsidR="00B355CF" w:rsidRPr="00B355CF" w:rsidRDefault="00B355CF" w:rsidP="00B355CF">
      <w:pPr>
        <w:pStyle w:val="Verbatium"/>
        <w:rPr>
          <w:sz w:val="24"/>
          <w:szCs w:val="24"/>
        </w:rPr>
      </w:pPr>
      <w:r w:rsidRPr="00B355CF">
        <w:rPr>
          <w:sz w:val="24"/>
          <w:szCs w:val="24"/>
        </w:rPr>
        <w:t>8.</w:t>
      </w:r>
      <w:r w:rsidRPr="00B355CF">
        <w:rPr>
          <w:sz w:val="24"/>
          <w:szCs w:val="24"/>
        </w:rPr>
        <w:tab/>
        <w:t>The appeal shall stand disposed of as indicated above.</w:t>
      </w:r>
    </w:p>
    <w:p w:rsidR="00DD5580" w:rsidRPr="00B355CF" w:rsidRDefault="00B355CF" w:rsidP="00B355CF">
      <w:pPr>
        <w:ind w:left="1440"/>
        <w:rPr>
          <w:i/>
          <w:iCs/>
          <w:szCs w:val="24"/>
          <w:lang w:val="en-US"/>
        </w:rPr>
      </w:pPr>
      <w:r w:rsidRPr="00B355CF">
        <w:rPr>
          <w:i/>
          <w:iCs/>
          <w:szCs w:val="24"/>
        </w:rPr>
        <w:t>9.</w:t>
      </w:r>
      <w:r w:rsidRPr="00B355CF">
        <w:rPr>
          <w:i/>
          <w:iCs/>
          <w:szCs w:val="24"/>
        </w:rPr>
        <w:tab/>
        <w:t>The parties may appear before the State Commission for further proceedings on 2.07.2018.”</w:t>
      </w:r>
    </w:p>
    <w:p w:rsidR="00DD3CFD" w:rsidRPr="00F972D7" w:rsidRDefault="00DD3CFD" w:rsidP="00DD3CFD">
      <w:pPr>
        <w:spacing w:after="240"/>
      </w:pPr>
      <w:r w:rsidRPr="00F972D7">
        <w:t>As per Clause 3.0 of Schedule II of the Amended PPA, the Annual Fixed Cost of OPGC shall consist of the following components:</w:t>
      </w:r>
    </w:p>
    <w:p w:rsidR="00DD3CFD" w:rsidRPr="00F972D7" w:rsidRDefault="00DD3CFD" w:rsidP="00DD3CFD">
      <w:pPr>
        <w:pStyle w:val="ListParagraph"/>
        <w:numPr>
          <w:ilvl w:val="1"/>
          <w:numId w:val="3"/>
        </w:numPr>
      </w:pPr>
      <w:r>
        <w:t>Depreciation</w:t>
      </w:r>
      <w:r w:rsidRPr="00F972D7">
        <w:t>;</w:t>
      </w:r>
    </w:p>
    <w:p w:rsidR="00DD3CFD" w:rsidRPr="00F972D7" w:rsidRDefault="00DD3CFD" w:rsidP="00DD3CFD">
      <w:pPr>
        <w:pStyle w:val="ListParagraph"/>
        <w:numPr>
          <w:ilvl w:val="1"/>
          <w:numId w:val="3"/>
        </w:numPr>
      </w:pPr>
      <w:r>
        <w:t>Return on Equity</w:t>
      </w:r>
      <w:r w:rsidRPr="00F972D7">
        <w:t>;</w:t>
      </w:r>
    </w:p>
    <w:p w:rsidR="00DD3CFD" w:rsidRPr="00F972D7" w:rsidRDefault="00DD3CFD" w:rsidP="00DD3CFD">
      <w:pPr>
        <w:pStyle w:val="ListParagraph"/>
        <w:numPr>
          <w:ilvl w:val="1"/>
          <w:numId w:val="3"/>
        </w:numPr>
      </w:pPr>
      <w:r>
        <w:t>Interest on Loan</w:t>
      </w:r>
      <w:r w:rsidRPr="00F972D7">
        <w:t>;</w:t>
      </w:r>
    </w:p>
    <w:p w:rsidR="00DD3CFD" w:rsidRPr="00F972D7" w:rsidRDefault="00DD3CFD" w:rsidP="00DD3CFD">
      <w:pPr>
        <w:pStyle w:val="ListParagraph"/>
        <w:numPr>
          <w:ilvl w:val="1"/>
          <w:numId w:val="3"/>
        </w:numPr>
      </w:pPr>
      <w:r w:rsidRPr="00F972D7">
        <w:t>Operation and Maintenance Expenses;</w:t>
      </w:r>
    </w:p>
    <w:p w:rsidR="00DD3CFD" w:rsidRPr="00F972D7" w:rsidRDefault="00DD3CFD" w:rsidP="00DD3CFD">
      <w:pPr>
        <w:pStyle w:val="ListParagraph"/>
        <w:numPr>
          <w:ilvl w:val="1"/>
          <w:numId w:val="3"/>
        </w:numPr>
      </w:pPr>
      <w:r w:rsidRPr="00F972D7">
        <w:t>Interest on Working Capital.</w:t>
      </w:r>
    </w:p>
    <w:p w:rsidR="00D513A3" w:rsidRDefault="00F55223" w:rsidP="00643524">
      <w:pPr>
        <w:rPr>
          <w:lang w:val="en-US"/>
        </w:rPr>
      </w:pPr>
      <w:r>
        <w:rPr>
          <w:lang w:val="en-US"/>
        </w:rPr>
        <w:t xml:space="preserve">The approved Amended PPA does not specify any non-tariff income </w:t>
      </w:r>
      <w:r w:rsidR="00516E79">
        <w:rPr>
          <w:lang w:val="en-US"/>
        </w:rPr>
        <w:t xml:space="preserve">and pass through of the same in AFC. </w:t>
      </w:r>
      <w:r w:rsidR="00851629">
        <w:rPr>
          <w:lang w:val="en-US"/>
        </w:rPr>
        <w:t>T</w:t>
      </w:r>
      <w:r w:rsidR="00A044CA">
        <w:rPr>
          <w:lang w:val="en-US"/>
        </w:rPr>
        <w:t xml:space="preserve">he Hon’ble Commission had </w:t>
      </w:r>
      <w:r w:rsidR="007A6678">
        <w:rPr>
          <w:lang w:val="en-US"/>
        </w:rPr>
        <w:t xml:space="preserve">been </w:t>
      </w:r>
      <w:r w:rsidR="00A044CA">
        <w:rPr>
          <w:lang w:val="en-US"/>
        </w:rPr>
        <w:t>determin</w:t>
      </w:r>
      <w:r w:rsidR="007A6678">
        <w:rPr>
          <w:lang w:val="en-US"/>
        </w:rPr>
        <w:t>ing</w:t>
      </w:r>
      <w:r w:rsidR="00A044CA">
        <w:rPr>
          <w:lang w:val="en-US"/>
        </w:rPr>
        <w:t xml:space="preserve"> the AFC </w:t>
      </w:r>
      <w:r w:rsidR="00851629">
        <w:rPr>
          <w:lang w:val="en-US"/>
        </w:rPr>
        <w:t xml:space="preserve">in accordance with the above. </w:t>
      </w:r>
      <w:r w:rsidR="00593816">
        <w:rPr>
          <w:lang w:val="en-US"/>
        </w:rPr>
        <w:t>Accordingly, OPGC has claimed the tariff for FY 2023-24.</w:t>
      </w:r>
    </w:p>
    <w:p w:rsidR="00C672C1" w:rsidRPr="003C0305" w:rsidRDefault="00C672C1" w:rsidP="00C672C1">
      <w:pPr>
        <w:rPr>
          <w:b/>
          <w:i/>
          <w:lang w:val="en-US"/>
        </w:rPr>
      </w:pPr>
      <w:r w:rsidRPr="003B0CCD">
        <w:rPr>
          <w:b/>
          <w:lang w:val="en-US"/>
        </w:rPr>
        <w:t>Stakeholder’s comment:</w:t>
      </w:r>
      <w:r>
        <w:rPr>
          <w:b/>
          <w:i/>
          <w:lang w:val="en-US"/>
        </w:rPr>
        <w:t xml:space="preserve"> “12. </w:t>
      </w:r>
      <w:r w:rsidRPr="00C672C1">
        <w:rPr>
          <w:b/>
          <w:i/>
          <w:lang w:val="en-US"/>
        </w:rPr>
        <w:t xml:space="preserve">OPGC’s </w:t>
      </w:r>
      <w:proofErr w:type="spellStart"/>
      <w:r w:rsidRPr="00C672C1">
        <w:rPr>
          <w:b/>
          <w:i/>
          <w:lang w:val="en-US"/>
        </w:rPr>
        <w:t>Ib</w:t>
      </w:r>
      <w:proofErr w:type="spellEnd"/>
      <w:r w:rsidRPr="00C672C1">
        <w:rPr>
          <w:b/>
          <w:i/>
          <w:lang w:val="en-US"/>
        </w:rPr>
        <w:t xml:space="preserve"> Thermal Power Station (ITPS), Jharsuguda is a coal fired power station. It</w:t>
      </w:r>
      <w:r>
        <w:rPr>
          <w:b/>
          <w:i/>
          <w:lang w:val="en-US"/>
        </w:rPr>
        <w:t xml:space="preserve"> </w:t>
      </w:r>
      <w:r w:rsidRPr="00C672C1">
        <w:rPr>
          <w:b/>
          <w:i/>
          <w:lang w:val="en-US"/>
        </w:rPr>
        <w:t>emits Green House Gases which cause pollution and warming of environment.</w:t>
      </w:r>
      <w:r>
        <w:rPr>
          <w:b/>
          <w:i/>
          <w:lang w:val="en-US"/>
        </w:rPr>
        <w:t xml:space="preserve"> </w:t>
      </w:r>
      <w:r w:rsidRPr="00C672C1">
        <w:rPr>
          <w:b/>
          <w:i/>
          <w:lang w:val="en-US"/>
        </w:rPr>
        <w:t>Therefore, I urge upon the Petitioner to submit the Carbon accounts of the Thermal</w:t>
      </w:r>
      <w:r>
        <w:rPr>
          <w:b/>
          <w:i/>
          <w:lang w:val="en-US"/>
        </w:rPr>
        <w:t xml:space="preserve"> </w:t>
      </w:r>
      <w:r w:rsidRPr="00C672C1">
        <w:rPr>
          <w:b/>
          <w:i/>
          <w:lang w:val="en-US"/>
        </w:rPr>
        <w:t>station for the kind information of the Stakeholders.</w:t>
      </w:r>
      <w:r>
        <w:rPr>
          <w:b/>
          <w:i/>
          <w:lang w:val="en-US"/>
        </w:rPr>
        <w:t>”</w:t>
      </w:r>
    </w:p>
    <w:p w:rsidR="002C7691" w:rsidRDefault="00496A11" w:rsidP="00643524">
      <w:r w:rsidRPr="002707B6">
        <w:rPr>
          <w:b/>
          <w:lang w:val="en-US"/>
        </w:rPr>
        <w:t>OPGC’s reply:</w:t>
      </w:r>
      <w:r>
        <w:rPr>
          <w:lang w:val="en-US"/>
        </w:rPr>
        <w:t xml:space="preserve"> </w:t>
      </w:r>
      <w:r>
        <w:t xml:space="preserve">The submissions of the stakeholder are </w:t>
      </w:r>
      <w:r w:rsidR="00885E76">
        <w:t xml:space="preserve">not </w:t>
      </w:r>
      <w:r>
        <w:t>relevant to the present tariff proceedings before the Hon’ble Commission.</w:t>
      </w:r>
    </w:p>
    <w:p w:rsidR="00F54721" w:rsidRPr="003C0305" w:rsidRDefault="00F54721" w:rsidP="00F54721">
      <w:pPr>
        <w:rPr>
          <w:b/>
          <w:i/>
          <w:lang w:val="en-US"/>
        </w:rPr>
      </w:pPr>
      <w:r w:rsidRPr="003B0CCD">
        <w:rPr>
          <w:b/>
          <w:lang w:val="en-US"/>
        </w:rPr>
        <w:lastRenderedPageBreak/>
        <w:t>Stakeholder’s comment:</w:t>
      </w:r>
      <w:r>
        <w:rPr>
          <w:b/>
          <w:i/>
          <w:lang w:val="en-US"/>
        </w:rPr>
        <w:t xml:space="preserve"> “13. </w:t>
      </w:r>
      <w:r w:rsidRPr="00F54721">
        <w:rPr>
          <w:b/>
          <w:i/>
          <w:lang w:val="en-US"/>
        </w:rPr>
        <w:t>That the clause no. 24.2 of Odisha Renewable Energy Policy, 2022 mandates OERC to</w:t>
      </w:r>
      <w:r>
        <w:rPr>
          <w:b/>
          <w:i/>
          <w:lang w:val="en-US"/>
        </w:rPr>
        <w:t xml:space="preserve"> </w:t>
      </w:r>
      <w:r w:rsidRPr="00F54721">
        <w:rPr>
          <w:b/>
          <w:i/>
          <w:lang w:val="en-US"/>
        </w:rPr>
        <w:t>look into the affairs of blending of 5-7% biomass briquettes and pellets in the coal based</w:t>
      </w:r>
      <w:r>
        <w:rPr>
          <w:b/>
          <w:i/>
          <w:lang w:val="en-US"/>
        </w:rPr>
        <w:t xml:space="preserve"> </w:t>
      </w:r>
      <w:r w:rsidRPr="00F54721">
        <w:rPr>
          <w:b/>
          <w:i/>
          <w:lang w:val="en-US"/>
        </w:rPr>
        <w:t>thermal power stations of the Petitioner and account for the same in meeting the RPO in</w:t>
      </w:r>
      <w:r>
        <w:rPr>
          <w:b/>
          <w:i/>
          <w:lang w:val="en-US"/>
        </w:rPr>
        <w:t xml:space="preserve"> </w:t>
      </w:r>
      <w:r w:rsidRPr="00F54721">
        <w:rPr>
          <w:b/>
          <w:i/>
          <w:lang w:val="en-US"/>
        </w:rPr>
        <w:t>the instant tariff proceeding</w:t>
      </w:r>
      <w:r>
        <w:rPr>
          <w:b/>
          <w:i/>
          <w:lang w:val="en-US"/>
        </w:rPr>
        <w:t>…”</w:t>
      </w:r>
    </w:p>
    <w:p w:rsidR="007659BC" w:rsidRDefault="007659BC" w:rsidP="007659BC">
      <w:r w:rsidRPr="002707B6">
        <w:rPr>
          <w:b/>
          <w:lang w:val="en-US"/>
        </w:rPr>
        <w:t>OPGC’s reply:</w:t>
      </w:r>
      <w:r>
        <w:rPr>
          <w:lang w:val="en-US"/>
        </w:rPr>
        <w:t xml:space="preserve"> </w:t>
      </w:r>
      <w:r w:rsidR="00DE1714">
        <w:t xml:space="preserve">OPGC </w:t>
      </w:r>
      <w:r w:rsidR="003B549F">
        <w:t>shall comply with the directions of the Hon’ble Commission</w:t>
      </w:r>
      <w:r w:rsidR="00C468A3">
        <w:t xml:space="preserve"> in this regard</w:t>
      </w:r>
      <w:r>
        <w:t>.</w:t>
      </w:r>
    </w:p>
    <w:p w:rsidR="00CA2DA5" w:rsidRPr="003C0305" w:rsidRDefault="00CA2DA5" w:rsidP="00CA2DA5">
      <w:pPr>
        <w:rPr>
          <w:b/>
          <w:i/>
          <w:lang w:val="en-US"/>
        </w:rPr>
      </w:pPr>
      <w:r w:rsidRPr="003B0CCD">
        <w:rPr>
          <w:b/>
          <w:lang w:val="en-US"/>
        </w:rPr>
        <w:t>Stakeholder’s comment:</w:t>
      </w:r>
      <w:r>
        <w:rPr>
          <w:b/>
          <w:i/>
          <w:lang w:val="en-US"/>
        </w:rPr>
        <w:t xml:space="preserve"> “14. </w:t>
      </w:r>
      <w:r w:rsidRPr="00CA2DA5">
        <w:rPr>
          <w:b/>
          <w:i/>
          <w:u w:val="single"/>
          <w:lang w:val="en-US"/>
        </w:rPr>
        <w:t>Generation Tariff Order of OPGC Stg-II (1320 MW)</w:t>
      </w:r>
      <w:proofErr w:type="gramStart"/>
      <w:r w:rsidRPr="00CA2DA5">
        <w:rPr>
          <w:b/>
          <w:i/>
          <w:lang w:val="en-US"/>
        </w:rPr>
        <w:t>:</w:t>
      </w:r>
      <w:r>
        <w:rPr>
          <w:b/>
          <w:i/>
          <w:lang w:val="en-US"/>
        </w:rPr>
        <w:t>…</w:t>
      </w:r>
      <w:proofErr w:type="gramEnd"/>
      <w:r>
        <w:rPr>
          <w:b/>
          <w:i/>
          <w:lang w:val="en-US"/>
        </w:rPr>
        <w:t>”</w:t>
      </w:r>
    </w:p>
    <w:p w:rsidR="009B06EF" w:rsidRDefault="00A92AF9" w:rsidP="007659BC">
      <w:r w:rsidRPr="002707B6">
        <w:rPr>
          <w:b/>
          <w:lang w:val="en-US"/>
        </w:rPr>
        <w:t>OPGC’s reply:</w:t>
      </w:r>
      <w:r>
        <w:rPr>
          <w:lang w:val="en-US"/>
        </w:rPr>
        <w:t xml:space="preserve"> </w:t>
      </w:r>
      <w:r>
        <w:t xml:space="preserve">The Hon’ble Commission has issued the Order in Case No. 96 of 2021 on </w:t>
      </w:r>
      <w:r w:rsidR="00804C53">
        <w:t>January 7, 2023</w:t>
      </w:r>
      <w:r>
        <w:t>.</w:t>
      </w:r>
    </w:p>
    <w:p w:rsidR="00EC087D" w:rsidRDefault="00EC087D" w:rsidP="00EC087D">
      <w:pPr>
        <w:rPr>
          <w:b/>
          <w:i/>
          <w:lang w:val="en-US"/>
        </w:rPr>
      </w:pPr>
      <w:r w:rsidRPr="003B0CCD">
        <w:rPr>
          <w:b/>
          <w:lang w:val="en-US"/>
        </w:rPr>
        <w:t>Stakeholder’s comment:</w:t>
      </w:r>
      <w:r>
        <w:rPr>
          <w:b/>
          <w:i/>
          <w:lang w:val="en-US"/>
        </w:rPr>
        <w:t xml:space="preserve"> “18. </w:t>
      </w:r>
      <w:r>
        <w:rPr>
          <w:b/>
          <w:i/>
          <w:u w:val="single"/>
          <w:lang w:val="en-US"/>
        </w:rPr>
        <w:t>Asset Management</w:t>
      </w:r>
      <w:proofErr w:type="gramStart"/>
      <w:r w:rsidRPr="00CA2DA5">
        <w:rPr>
          <w:b/>
          <w:i/>
          <w:lang w:val="en-US"/>
        </w:rPr>
        <w:t>:</w:t>
      </w:r>
      <w:r>
        <w:rPr>
          <w:b/>
          <w:i/>
          <w:lang w:val="en-US"/>
        </w:rPr>
        <w:t>…</w:t>
      </w:r>
      <w:proofErr w:type="gramEnd"/>
      <w:r>
        <w:rPr>
          <w:b/>
          <w:i/>
          <w:lang w:val="en-US"/>
        </w:rPr>
        <w:t>”</w:t>
      </w:r>
    </w:p>
    <w:p w:rsidR="00972660" w:rsidRDefault="00972660" w:rsidP="00EC087D">
      <w:pPr>
        <w:rPr>
          <w:b/>
          <w:i/>
          <w:lang w:val="en-US"/>
        </w:rPr>
      </w:pPr>
      <w:r>
        <w:rPr>
          <w:b/>
          <w:i/>
          <w:lang w:val="en-US"/>
        </w:rPr>
        <w:t>“1</w:t>
      </w:r>
      <w:r w:rsidR="000C4968">
        <w:rPr>
          <w:b/>
          <w:i/>
          <w:lang w:val="en-US"/>
        </w:rPr>
        <w:t>9</w:t>
      </w:r>
      <w:r>
        <w:rPr>
          <w:b/>
          <w:i/>
          <w:lang w:val="en-US"/>
        </w:rPr>
        <w:t xml:space="preserve">. </w:t>
      </w:r>
      <w:r w:rsidRPr="00972660">
        <w:rPr>
          <w:b/>
          <w:i/>
          <w:u w:val="single"/>
          <w:lang w:val="en-US"/>
        </w:rPr>
        <w:t>E-Asset Module SAUDAMINI by CERC</w:t>
      </w:r>
      <w:proofErr w:type="gramStart"/>
      <w:r w:rsidRPr="00972660">
        <w:rPr>
          <w:b/>
          <w:i/>
          <w:u w:val="single"/>
          <w:lang w:val="en-US"/>
        </w:rPr>
        <w:t>:</w:t>
      </w:r>
      <w:r>
        <w:rPr>
          <w:b/>
          <w:i/>
          <w:lang w:val="en-US"/>
        </w:rPr>
        <w:t>…</w:t>
      </w:r>
      <w:proofErr w:type="gramEnd"/>
      <w:r>
        <w:rPr>
          <w:b/>
          <w:i/>
          <w:lang w:val="en-US"/>
        </w:rPr>
        <w:t>”</w:t>
      </w:r>
    </w:p>
    <w:p w:rsidR="00972660" w:rsidRDefault="00EC00E7" w:rsidP="00EC00E7">
      <w:pPr>
        <w:rPr>
          <w:b/>
          <w:i/>
          <w:lang w:val="en-US"/>
        </w:rPr>
      </w:pPr>
      <w:r>
        <w:rPr>
          <w:b/>
          <w:i/>
          <w:lang w:val="en-US"/>
        </w:rPr>
        <w:t xml:space="preserve">“20… </w:t>
      </w:r>
      <w:r w:rsidRPr="00EC00E7">
        <w:rPr>
          <w:b/>
          <w:i/>
          <w:lang w:val="en-US"/>
        </w:rPr>
        <w:t>Ld OERC can extend the above e-module to</w:t>
      </w:r>
      <w:r>
        <w:rPr>
          <w:b/>
          <w:i/>
          <w:lang w:val="en-US"/>
        </w:rPr>
        <w:t xml:space="preserve"> </w:t>
      </w:r>
      <w:r w:rsidRPr="00EC00E7">
        <w:rPr>
          <w:b/>
          <w:i/>
          <w:lang w:val="en-US"/>
        </w:rPr>
        <w:t>Distribution Companies too. In the above backdrop, it is urged upon Ld OERC to launch</w:t>
      </w:r>
      <w:r>
        <w:rPr>
          <w:b/>
          <w:i/>
          <w:lang w:val="en-US"/>
        </w:rPr>
        <w:t xml:space="preserve"> </w:t>
      </w:r>
      <w:r w:rsidRPr="00EC00E7">
        <w:rPr>
          <w:b/>
          <w:i/>
          <w:lang w:val="en-US"/>
        </w:rPr>
        <w:t>the e-module asset management system in Odisha and eased the Licensees and</w:t>
      </w:r>
      <w:r>
        <w:rPr>
          <w:b/>
          <w:i/>
          <w:lang w:val="en-US"/>
        </w:rPr>
        <w:t xml:space="preserve"> </w:t>
      </w:r>
      <w:r w:rsidRPr="00EC00E7">
        <w:rPr>
          <w:b/>
          <w:i/>
          <w:lang w:val="en-US"/>
        </w:rPr>
        <w:t>Companies to upload their asset data in the above module for necessary information of</w:t>
      </w:r>
      <w:r>
        <w:rPr>
          <w:b/>
          <w:i/>
          <w:lang w:val="en-US"/>
        </w:rPr>
        <w:t xml:space="preserve"> </w:t>
      </w:r>
      <w:r w:rsidRPr="00EC00E7">
        <w:rPr>
          <w:b/>
          <w:i/>
          <w:lang w:val="en-US"/>
        </w:rPr>
        <w:t>all the Stakeholders.</w:t>
      </w:r>
      <w:r>
        <w:rPr>
          <w:b/>
          <w:i/>
          <w:lang w:val="en-US"/>
        </w:rPr>
        <w:t>”</w:t>
      </w:r>
    </w:p>
    <w:p w:rsidR="00153CFA" w:rsidRDefault="00153CFA" w:rsidP="00153CFA">
      <w:r w:rsidRPr="002707B6">
        <w:rPr>
          <w:b/>
          <w:lang w:val="en-US"/>
        </w:rPr>
        <w:t>OPGC’s reply:</w:t>
      </w:r>
      <w:r>
        <w:rPr>
          <w:lang w:val="en-US"/>
        </w:rPr>
        <w:t xml:space="preserve"> </w:t>
      </w:r>
      <w:r>
        <w:t>OPGC shall comply with the directions of the Hon’ble Commission in this regard.</w:t>
      </w:r>
    </w:p>
    <w:p w:rsidR="00DD3CFD" w:rsidRDefault="00DD3CFD" w:rsidP="00643524">
      <w:pPr>
        <w:rPr>
          <w:lang w:val="en-US"/>
        </w:rPr>
      </w:pPr>
    </w:p>
    <w:p w:rsidR="00085279" w:rsidRDefault="00085279" w:rsidP="00085279">
      <w:pPr>
        <w:spacing w:after="0" w:line="240" w:lineRule="auto"/>
        <w:jc w:val="right"/>
        <w:rPr>
          <w:szCs w:val="24"/>
        </w:rPr>
      </w:pPr>
      <w:r>
        <w:rPr>
          <w:szCs w:val="24"/>
        </w:rPr>
        <w:t>Deponent</w:t>
      </w:r>
    </w:p>
    <w:p w:rsidR="00085279" w:rsidRDefault="00085279" w:rsidP="00085279">
      <w:pPr>
        <w:spacing w:after="0" w:line="240" w:lineRule="auto"/>
        <w:rPr>
          <w:b/>
          <w:szCs w:val="24"/>
        </w:rPr>
      </w:pPr>
    </w:p>
    <w:p w:rsidR="00085279" w:rsidRDefault="00085279" w:rsidP="00085279">
      <w:pPr>
        <w:spacing w:after="0" w:line="240" w:lineRule="auto"/>
        <w:rPr>
          <w:b/>
          <w:szCs w:val="24"/>
        </w:rPr>
      </w:pPr>
    </w:p>
    <w:p w:rsidR="00085279" w:rsidRPr="003F2726" w:rsidRDefault="00085279" w:rsidP="00085279">
      <w:pPr>
        <w:spacing w:after="0" w:line="240" w:lineRule="auto"/>
        <w:rPr>
          <w:szCs w:val="24"/>
        </w:rPr>
      </w:pPr>
      <w:r w:rsidRPr="003F2726">
        <w:rPr>
          <w:szCs w:val="24"/>
        </w:rPr>
        <w:t>Bhubaneswar</w:t>
      </w:r>
    </w:p>
    <w:p w:rsidR="00085279" w:rsidRPr="0076151E" w:rsidRDefault="00085279" w:rsidP="00085279">
      <w:pPr>
        <w:rPr>
          <w:lang w:val="en-US"/>
        </w:rPr>
      </w:pPr>
      <w:r>
        <w:rPr>
          <w:szCs w:val="24"/>
        </w:rPr>
        <w:t>January 2</w:t>
      </w:r>
      <w:r w:rsidR="004F2BD0">
        <w:rPr>
          <w:szCs w:val="24"/>
        </w:rPr>
        <w:t>7</w:t>
      </w:r>
      <w:r w:rsidRPr="003F2726">
        <w:rPr>
          <w:szCs w:val="24"/>
        </w:rPr>
        <w:t>, 20</w:t>
      </w:r>
      <w:r>
        <w:rPr>
          <w:szCs w:val="24"/>
        </w:rPr>
        <w:t>2</w:t>
      </w:r>
      <w:r w:rsidR="004F2BD0">
        <w:rPr>
          <w:szCs w:val="24"/>
        </w:rPr>
        <w:t>3</w:t>
      </w:r>
    </w:p>
    <w:sectPr w:rsidR="00085279" w:rsidRPr="0076151E" w:rsidSect="003E0457">
      <w:footerReference w:type="default" r:id="rId7"/>
      <w:pgSz w:w="11906" w:h="1683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A6F" w:rsidRDefault="00104A6F">
      <w:pPr>
        <w:spacing w:after="0" w:line="240" w:lineRule="auto"/>
      </w:pPr>
      <w:r>
        <w:separator/>
      </w:r>
    </w:p>
  </w:endnote>
  <w:endnote w:type="continuationSeparator" w:id="0">
    <w:p w:rsidR="00104A6F" w:rsidRDefault="00104A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BC5" w:rsidRDefault="00FC1F57">
    <w:pPr>
      <w:pStyle w:val="Footer"/>
      <w:jc w:val="right"/>
    </w:pPr>
    <w:r>
      <w:t xml:space="preserve">Page </w:t>
    </w:r>
    <w:r w:rsidR="008622ED">
      <w:fldChar w:fldCharType="begin"/>
    </w:r>
    <w:r>
      <w:instrText xml:space="preserve"> PAGE   \* MERGEFORMAT </w:instrText>
    </w:r>
    <w:r w:rsidR="008622ED">
      <w:fldChar w:fldCharType="separate"/>
    </w:r>
    <w:r w:rsidR="000E2D2C">
      <w:rPr>
        <w:noProof/>
      </w:rPr>
      <w:t>1</w:t>
    </w:r>
    <w:r w:rsidR="008622ED">
      <w:rPr>
        <w:noProof/>
      </w:rPr>
      <w:fldChar w:fldCharType="end"/>
    </w:r>
  </w:p>
  <w:p w:rsidR="000D1B9D" w:rsidRDefault="00104A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A6F" w:rsidRDefault="00104A6F">
      <w:pPr>
        <w:spacing w:after="0" w:line="240" w:lineRule="auto"/>
      </w:pPr>
      <w:r>
        <w:separator/>
      </w:r>
    </w:p>
  </w:footnote>
  <w:footnote w:type="continuationSeparator" w:id="0">
    <w:p w:rsidR="00104A6F" w:rsidRDefault="00104A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E66BC7"/>
    <w:multiLevelType w:val="multilevel"/>
    <w:tmpl w:val="0CAEB02E"/>
    <w:lvl w:ilvl="0">
      <w:start w:val="1"/>
      <w:numFmt w:val="decimal"/>
      <w:lvlText w:val="A%1."/>
      <w:lvlJc w:val="left"/>
      <w:pPr>
        <w:ind w:left="432" w:hanging="432"/>
      </w:pPr>
      <w:rPr>
        <w:rFonts w:hint="default"/>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3D496972"/>
    <w:multiLevelType w:val="hybridMultilevel"/>
    <w:tmpl w:val="7BC47328"/>
    <w:lvl w:ilvl="0" w:tplc="2004A920">
      <w:start w:val="1"/>
      <w:numFmt w:val="decimal"/>
      <w:lvlText w:val="3.%1"/>
      <w:lvlJc w:val="left"/>
      <w:rPr>
        <w:rFonts w:hint="default"/>
        <w:b w:val="0"/>
        <w:bCs/>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E70072A"/>
    <w:multiLevelType w:val="multilevel"/>
    <w:tmpl w:val="FBA2316C"/>
    <w:lvl w:ilvl="0">
      <w:start w:val="1"/>
      <w:numFmt w:val="decimal"/>
      <w:lvlText w:val="A%1."/>
      <w:lvlJc w:val="left"/>
      <w:pPr>
        <w:ind w:left="432" w:hanging="432"/>
      </w:pPr>
      <w:rPr>
        <w:rFonts w:hint="default"/>
        <w:i w:val="0"/>
        <w:sz w:val="24"/>
        <w:szCs w:val="20"/>
      </w:rPr>
    </w:lvl>
    <w:lvl w:ilvl="1">
      <w:start w:val="1"/>
      <w:numFmt w:val="lowerLetter"/>
      <w:lvlText w:val="(%2)"/>
      <w:lvlJc w:val="left"/>
      <w:pPr>
        <w:ind w:left="1427" w:hanging="576"/>
      </w:pPr>
      <w:rPr>
        <w:rFonts w:ascii="Times New Roman" w:eastAsia="Times New Roman" w:hAnsi="Times New Roman" w:cs="Times New Roman"/>
        <w:b w:val="0"/>
        <w:i w:val="0"/>
        <w:iCs/>
        <w:color w:val="auto"/>
        <w:sz w:val="24"/>
        <w:szCs w:val="24"/>
      </w:rPr>
    </w:lvl>
    <w:lvl w:ilvl="2">
      <w:start w:val="1"/>
      <w:numFmt w:val="decimal"/>
      <w:lvlText w:val="%1.%2.%3"/>
      <w:lvlJc w:val="left"/>
      <w:pPr>
        <w:ind w:left="720" w:hanging="720"/>
      </w:pPr>
      <w:rPr>
        <w:b/>
        <w:i w:val="0"/>
        <w:sz w:val="24"/>
      </w:rPr>
    </w:lvl>
    <w:lvl w:ilvl="3">
      <w:start w:val="1"/>
      <w:numFmt w:val="decimal"/>
      <w:lvlText w:val="%1.%2.%3.%4"/>
      <w:lvlJc w:val="left"/>
      <w:pPr>
        <w:ind w:left="864" w:hanging="864"/>
      </w:pPr>
      <w:rPr>
        <w:b/>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35A6C0A"/>
    <w:multiLevelType w:val="multilevel"/>
    <w:tmpl w:val="9D766268"/>
    <w:lvl w:ilvl="0">
      <w:start w:val="1"/>
      <w:numFmt w:val="decimal"/>
      <w:pStyle w:val="Heading1"/>
      <w:lvlText w:val="%1"/>
      <w:lvlJc w:val="left"/>
      <w:pPr>
        <w:ind w:left="432" w:hanging="432"/>
      </w:pPr>
    </w:lvl>
    <w:lvl w:ilvl="1">
      <w:start w:val="1"/>
      <w:numFmt w:val="decimal"/>
      <w:pStyle w:val="Heading2"/>
      <w:lvlText w:val="%1.%2"/>
      <w:lvlJc w:val="left"/>
      <w:pPr>
        <w:ind w:left="6530"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trackRevisions/>
  <w:defaultTabStop w:val="720"/>
  <w:characterSpacingControl w:val="doNotCompress"/>
  <w:footnotePr>
    <w:footnote w:id="-1"/>
    <w:footnote w:id="0"/>
  </w:footnotePr>
  <w:endnotePr>
    <w:endnote w:id="-1"/>
    <w:endnote w:id="0"/>
  </w:endnotePr>
  <w:compat/>
  <w:rsids>
    <w:rsidRoot w:val="00E23FB3"/>
    <w:rsid w:val="00011B6E"/>
    <w:rsid w:val="00042D64"/>
    <w:rsid w:val="0007145D"/>
    <w:rsid w:val="000722A3"/>
    <w:rsid w:val="00073548"/>
    <w:rsid w:val="00085279"/>
    <w:rsid w:val="000C4968"/>
    <w:rsid w:val="000E1233"/>
    <w:rsid w:val="000E2D2C"/>
    <w:rsid w:val="000F0864"/>
    <w:rsid w:val="00104A6F"/>
    <w:rsid w:val="00125501"/>
    <w:rsid w:val="00127D80"/>
    <w:rsid w:val="0014456C"/>
    <w:rsid w:val="00153CFA"/>
    <w:rsid w:val="00197471"/>
    <w:rsid w:val="001D09CD"/>
    <w:rsid w:val="001E796D"/>
    <w:rsid w:val="00205017"/>
    <w:rsid w:val="00210FE9"/>
    <w:rsid w:val="00243C30"/>
    <w:rsid w:val="00257537"/>
    <w:rsid w:val="00261DE4"/>
    <w:rsid w:val="00263519"/>
    <w:rsid w:val="00272AAC"/>
    <w:rsid w:val="00287277"/>
    <w:rsid w:val="002938D4"/>
    <w:rsid w:val="0029552F"/>
    <w:rsid w:val="002C7602"/>
    <w:rsid w:val="002C7691"/>
    <w:rsid w:val="002D7134"/>
    <w:rsid w:val="002E318F"/>
    <w:rsid w:val="00323560"/>
    <w:rsid w:val="00327435"/>
    <w:rsid w:val="00372A9B"/>
    <w:rsid w:val="00374BB1"/>
    <w:rsid w:val="00381ED9"/>
    <w:rsid w:val="003930EA"/>
    <w:rsid w:val="003B549F"/>
    <w:rsid w:val="003D4F31"/>
    <w:rsid w:val="004021E1"/>
    <w:rsid w:val="00412EE3"/>
    <w:rsid w:val="00416BA4"/>
    <w:rsid w:val="00436EF1"/>
    <w:rsid w:val="00494319"/>
    <w:rsid w:val="004952B3"/>
    <w:rsid w:val="00496A11"/>
    <w:rsid w:val="004A73B2"/>
    <w:rsid w:val="004C208A"/>
    <w:rsid w:val="004D05FD"/>
    <w:rsid w:val="004F2BD0"/>
    <w:rsid w:val="00503506"/>
    <w:rsid w:val="00516884"/>
    <w:rsid w:val="00516E79"/>
    <w:rsid w:val="00521C11"/>
    <w:rsid w:val="0053617C"/>
    <w:rsid w:val="00544440"/>
    <w:rsid w:val="00551CBB"/>
    <w:rsid w:val="00553C05"/>
    <w:rsid w:val="00561F49"/>
    <w:rsid w:val="00591AC4"/>
    <w:rsid w:val="00593816"/>
    <w:rsid w:val="00596352"/>
    <w:rsid w:val="005972FA"/>
    <w:rsid w:val="005B568A"/>
    <w:rsid w:val="005C3099"/>
    <w:rsid w:val="005F20B0"/>
    <w:rsid w:val="006211E8"/>
    <w:rsid w:val="00623217"/>
    <w:rsid w:val="00630640"/>
    <w:rsid w:val="00643524"/>
    <w:rsid w:val="00650170"/>
    <w:rsid w:val="006572DE"/>
    <w:rsid w:val="00667117"/>
    <w:rsid w:val="00671F33"/>
    <w:rsid w:val="00694F53"/>
    <w:rsid w:val="006C204D"/>
    <w:rsid w:val="006C649D"/>
    <w:rsid w:val="006F52C9"/>
    <w:rsid w:val="00724BFB"/>
    <w:rsid w:val="00741BEC"/>
    <w:rsid w:val="007659BC"/>
    <w:rsid w:val="00782BE6"/>
    <w:rsid w:val="00784DCA"/>
    <w:rsid w:val="0079444C"/>
    <w:rsid w:val="007A6678"/>
    <w:rsid w:val="007B2750"/>
    <w:rsid w:val="007C1A1D"/>
    <w:rsid w:val="007E66B9"/>
    <w:rsid w:val="007F7127"/>
    <w:rsid w:val="007F7DA9"/>
    <w:rsid w:val="00804C53"/>
    <w:rsid w:val="00821A80"/>
    <w:rsid w:val="00851629"/>
    <w:rsid w:val="008622ED"/>
    <w:rsid w:val="00867034"/>
    <w:rsid w:val="008777DE"/>
    <w:rsid w:val="008820A5"/>
    <w:rsid w:val="00885E76"/>
    <w:rsid w:val="00890495"/>
    <w:rsid w:val="008C4FA1"/>
    <w:rsid w:val="008C56DD"/>
    <w:rsid w:val="0091483E"/>
    <w:rsid w:val="00923484"/>
    <w:rsid w:val="00957BE7"/>
    <w:rsid w:val="009605BC"/>
    <w:rsid w:val="00972660"/>
    <w:rsid w:val="00973C58"/>
    <w:rsid w:val="00975591"/>
    <w:rsid w:val="009762FF"/>
    <w:rsid w:val="00983A81"/>
    <w:rsid w:val="00987F43"/>
    <w:rsid w:val="009B06EF"/>
    <w:rsid w:val="009E3394"/>
    <w:rsid w:val="00A044CA"/>
    <w:rsid w:val="00A32AE6"/>
    <w:rsid w:val="00A92AF9"/>
    <w:rsid w:val="00A93F1B"/>
    <w:rsid w:val="00AA1B7B"/>
    <w:rsid w:val="00AB3B86"/>
    <w:rsid w:val="00AD05B9"/>
    <w:rsid w:val="00AE1196"/>
    <w:rsid w:val="00AF392C"/>
    <w:rsid w:val="00B1244C"/>
    <w:rsid w:val="00B23085"/>
    <w:rsid w:val="00B3102E"/>
    <w:rsid w:val="00B355CF"/>
    <w:rsid w:val="00B37112"/>
    <w:rsid w:val="00B41361"/>
    <w:rsid w:val="00B601E5"/>
    <w:rsid w:val="00B6723D"/>
    <w:rsid w:val="00B74874"/>
    <w:rsid w:val="00B807EB"/>
    <w:rsid w:val="00B83015"/>
    <w:rsid w:val="00BA689C"/>
    <w:rsid w:val="00BB0AB0"/>
    <w:rsid w:val="00BB2FC8"/>
    <w:rsid w:val="00BC6121"/>
    <w:rsid w:val="00BD1965"/>
    <w:rsid w:val="00BE00C7"/>
    <w:rsid w:val="00C323D1"/>
    <w:rsid w:val="00C35CEE"/>
    <w:rsid w:val="00C40738"/>
    <w:rsid w:val="00C468A3"/>
    <w:rsid w:val="00C61828"/>
    <w:rsid w:val="00C672C1"/>
    <w:rsid w:val="00C86618"/>
    <w:rsid w:val="00CA2DA5"/>
    <w:rsid w:val="00CB4A46"/>
    <w:rsid w:val="00CC32C4"/>
    <w:rsid w:val="00CF329A"/>
    <w:rsid w:val="00D04D3A"/>
    <w:rsid w:val="00D22132"/>
    <w:rsid w:val="00D27BEC"/>
    <w:rsid w:val="00D33780"/>
    <w:rsid w:val="00D374B3"/>
    <w:rsid w:val="00D513A3"/>
    <w:rsid w:val="00D551AB"/>
    <w:rsid w:val="00D63435"/>
    <w:rsid w:val="00DD3CFD"/>
    <w:rsid w:val="00DD5580"/>
    <w:rsid w:val="00DE1714"/>
    <w:rsid w:val="00DE2381"/>
    <w:rsid w:val="00DE2DD5"/>
    <w:rsid w:val="00DE3F51"/>
    <w:rsid w:val="00DF071A"/>
    <w:rsid w:val="00DF2B04"/>
    <w:rsid w:val="00E13A5D"/>
    <w:rsid w:val="00E23FB3"/>
    <w:rsid w:val="00E36097"/>
    <w:rsid w:val="00E3798B"/>
    <w:rsid w:val="00E5389D"/>
    <w:rsid w:val="00E64255"/>
    <w:rsid w:val="00E64B1D"/>
    <w:rsid w:val="00E77D87"/>
    <w:rsid w:val="00E80768"/>
    <w:rsid w:val="00E83F66"/>
    <w:rsid w:val="00E86C50"/>
    <w:rsid w:val="00E92E57"/>
    <w:rsid w:val="00EA0629"/>
    <w:rsid w:val="00EB2C73"/>
    <w:rsid w:val="00EC00E7"/>
    <w:rsid w:val="00EC087D"/>
    <w:rsid w:val="00EC5ED6"/>
    <w:rsid w:val="00EE0C39"/>
    <w:rsid w:val="00F30BB4"/>
    <w:rsid w:val="00F54721"/>
    <w:rsid w:val="00F55223"/>
    <w:rsid w:val="00F57BE4"/>
    <w:rsid w:val="00F6122E"/>
    <w:rsid w:val="00F661F4"/>
    <w:rsid w:val="00F66A70"/>
    <w:rsid w:val="00F83BCB"/>
    <w:rsid w:val="00F86220"/>
    <w:rsid w:val="00F86C94"/>
    <w:rsid w:val="00F95243"/>
    <w:rsid w:val="00FA5EE9"/>
    <w:rsid w:val="00FB44EA"/>
    <w:rsid w:val="00FC1F57"/>
    <w:rsid w:val="00FD3697"/>
    <w:rsid w:val="00FD4730"/>
    <w:rsid w:val="00FE64FF"/>
    <w:rsid w:val="00FF36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279"/>
    <w:pPr>
      <w:spacing w:after="200" w:line="360" w:lineRule="auto"/>
      <w:jc w:val="both"/>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085279"/>
    <w:pPr>
      <w:keepNext/>
      <w:numPr>
        <w:numId w:val="1"/>
      </w:numPr>
      <w:pBdr>
        <w:bottom w:val="single" w:sz="4" w:space="1" w:color="auto"/>
      </w:pBdr>
      <w:spacing w:before="240" w:after="60" w:line="240" w:lineRule="auto"/>
      <w:outlineLvl w:val="0"/>
    </w:pPr>
    <w:rPr>
      <w:rFonts w:eastAsia="Times New Roman"/>
      <w:b/>
      <w:bCs/>
      <w:kern w:val="32"/>
      <w:sz w:val="28"/>
      <w:szCs w:val="32"/>
      <w:lang w:val="en-GB"/>
    </w:rPr>
  </w:style>
  <w:style w:type="paragraph" w:styleId="Heading2">
    <w:name w:val="heading 2"/>
    <w:basedOn w:val="Normal"/>
    <w:next w:val="Normal"/>
    <w:link w:val="Heading2Char"/>
    <w:uiPriority w:val="9"/>
    <w:unhideWhenUsed/>
    <w:qFormat/>
    <w:rsid w:val="00085279"/>
    <w:pPr>
      <w:keepNext/>
      <w:numPr>
        <w:ilvl w:val="1"/>
        <w:numId w:val="1"/>
      </w:numPr>
      <w:spacing w:after="0"/>
      <w:ind w:left="578" w:hanging="578"/>
      <w:outlineLvl w:val="1"/>
    </w:pPr>
    <w:rPr>
      <w:rFonts w:eastAsia="Times New Roman"/>
      <w:bCs/>
      <w:iCs/>
      <w:szCs w:val="28"/>
      <w:lang w:val="en-GB"/>
    </w:rPr>
  </w:style>
  <w:style w:type="paragraph" w:styleId="Heading3">
    <w:name w:val="heading 3"/>
    <w:basedOn w:val="Normal"/>
    <w:next w:val="Normal"/>
    <w:link w:val="Heading3Char"/>
    <w:uiPriority w:val="9"/>
    <w:unhideWhenUsed/>
    <w:qFormat/>
    <w:rsid w:val="00085279"/>
    <w:pPr>
      <w:keepNext/>
      <w:numPr>
        <w:ilvl w:val="2"/>
        <w:numId w:val="1"/>
      </w:numPr>
      <w:spacing w:before="240" w:after="60"/>
      <w:outlineLvl w:val="2"/>
    </w:pPr>
    <w:rPr>
      <w:rFonts w:ascii="Book Antiqua" w:eastAsia="Times New Roman" w:hAnsi="Book Antiqua"/>
      <w:bCs/>
      <w:szCs w:val="26"/>
      <w:lang w:val="en-GB"/>
    </w:rPr>
  </w:style>
  <w:style w:type="paragraph" w:styleId="Heading4">
    <w:name w:val="heading 4"/>
    <w:basedOn w:val="Heading2"/>
    <w:next w:val="Normal"/>
    <w:link w:val="Heading4Char"/>
    <w:uiPriority w:val="9"/>
    <w:unhideWhenUsed/>
    <w:qFormat/>
    <w:rsid w:val="00085279"/>
    <w:pPr>
      <w:numPr>
        <w:ilvl w:val="3"/>
      </w:numPr>
      <w:outlineLvl w:val="3"/>
    </w:pPr>
  </w:style>
  <w:style w:type="paragraph" w:styleId="Heading5">
    <w:name w:val="heading 5"/>
    <w:basedOn w:val="Normal"/>
    <w:next w:val="Normal"/>
    <w:link w:val="Heading5Char"/>
    <w:uiPriority w:val="9"/>
    <w:unhideWhenUsed/>
    <w:qFormat/>
    <w:rsid w:val="00085279"/>
    <w:pPr>
      <w:keepNext/>
      <w:keepLines/>
      <w:numPr>
        <w:ilvl w:val="4"/>
        <w:numId w:val="1"/>
      </w:numPr>
      <w:spacing w:before="200" w:after="0"/>
      <w:outlineLvl w:val="4"/>
    </w:pPr>
    <w:rPr>
      <w:rFonts w:ascii="Cambria" w:eastAsia="Times New Roman" w:hAnsi="Cambria"/>
      <w:color w:val="243F60"/>
      <w:szCs w:val="20"/>
      <w:lang w:val="en-US"/>
    </w:rPr>
  </w:style>
  <w:style w:type="paragraph" w:styleId="Heading6">
    <w:name w:val="heading 6"/>
    <w:basedOn w:val="Normal"/>
    <w:next w:val="Normal"/>
    <w:link w:val="Heading6Char"/>
    <w:uiPriority w:val="9"/>
    <w:unhideWhenUsed/>
    <w:qFormat/>
    <w:rsid w:val="00085279"/>
    <w:pPr>
      <w:keepNext/>
      <w:keepLines/>
      <w:numPr>
        <w:ilvl w:val="5"/>
        <w:numId w:val="1"/>
      </w:numPr>
      <w:spacing w:before="200" w:after="0"/>
      <w:outlineLvl w:val="5"/>
    </w:pPr>
    <w:rPr>
      <w:rFonts w:ascii="Cambria" w:eastAsia="Times New Roman" w:hAnsi="Cambria"/>
      <w:i/>
      <w:iCs/>
      <w:color w:val="243F60"/>
      <w:szCs w:val="20"/>
      <w:lang w:val="en-US"/>
    </w:rPr>
  </w:style>
  <w:style w:type="paragraph" w:styleId="Heading7">
    <w:name w:val="heading 7"/>
    <w:basedOn w:val="Normal"/>
    <w:next w:val="Normal"/>
    <w:link w:val="Heading7Char"/>
    <w:uiPriority w:val="9"/>
    <w:semiHidden/>
    <w:unhideWhenUsed/>
    <w:qFormat/>
    <w:rsid w:val="00085279"/>
    <w:pPr>
      <w:keepNext/>
      <w:keepLines/>
      <w:numPr>
        <w:ilvl w:val="6"/>
        <w:numId w:val="1"/>
      </w:numPr>
      <w:spacing w:before="200" w:after="0"/>
      <w:outlineLvl w:val="6"/>
    </w:pPr>
    <w:rPr>
      <w:rFonts w:ascii="Cambria" w:eastAsia="Times New Roman" w:hAnsi="Cambria"/>
      <w:i/>
      <w:iCs/>
      <w:color w:val="404040"/>
      <w:szCs w:val="20"/>
      <w:lang w:val="en-US"/>
    </w:rPr>
  </w:style>
  <w:style w:type="paragraph" w:styleId="Heading8">
    <w:name w:val="heading 8"/>
    <w:basedOn w:val="Normal"/>
    <w:next w:val="Normal"/>
    <w:link w:val="Heading8Char"/>
    <w:uiPriority w:val="9"/>
    <w:semiHidden/>
    <w:unhideWhenUsed/>
    <w:qFormat/>
    <w:rsid w:val="00085279"/>
    <w:pPr>
      <w:keepNext/>
      <w:keepLines/>
      <w:numPr>
        <w:ilvl w:val="7"/>
        <w:numId w:val="1"/>
      </w:numPr>
      <w:spacing w:before="200" w:after="0"/>
      <w:outlineLvl w:val="7"/>
    </w:pPr>
    <w:rPr>
      <w:rFonts w:ascii="Cambria" w:eastAsia="Times New Roman" w:hAnsi="Cambria"/>
      <w:color w:val="404040"/>
      <w:sz w:val="20"/>
      <w:szCs w:val="20"/>
      <w:lang w:val="en-US"/>
    </w:rPr>
  </w:style>
  <w:style w:type="paragraph" w:styleId="Heading9">
    <w:name w:val="heading 9"/>
    <w:basedOn w:val="Normal"/>
    <w:next w:val="Normal"/>
    <w:link w:val="Heading9Char"/>
    <w:uiPriority w:val="9"/>
    <w:semiHidden/>
    <w:unhideWhenUsed/>
    <w:qFormat/>
    <w:rsid w:val="00085279"/>
    <w:pPr>
      <w:keepNext/>
      <w:numPr>
        <w:ilvl w:val="8"/>
        <w:numId w:val="1"/>
      </w:numPr>
      <w:shd w:val="pct25" w:color="auto" w:fill="auto"/>
      <w:spacing w:after="0"/>
      <w:outlineLvl w:val="8"/>
    </w:pPr>
    <w:rPr>
      <w:rFonts w:ascii="Book Antiqua" w:eastAsia="Times New Roman" w:hAnsi="Book Antiqua"/>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5279"/>
    <w:rPr>
      <w:rFonts w:ascii="Times New Roman" w:eastAsia="Times New Roman" w:hAnsi="Times New Roman" w:cs="Times New Roman"/>
      <w:b/>
      <w:bCs/>
      <w:kern w:val="32"/>
      <w:sz w:val="28"/>
      <w:szCs w:val="32"/>
      <w:lang w:val="en-GB"/>
    </w:rPr>
  </w:style>
  <w:style w:type="character" w:customStyle="1" w:styleId="Heading2Char">
    <w:name w:val="Heading 2 Char"/>
    <w:basedOn w:val="DefaultParagraphFont"/>
    <w:link w:val="Heading2"/>
    <w:uiPriority w:val="9"/>
    <w:rsid w:val="00085279"/>
    <w:rPr>
      <w:rFonts w:ascii="Times New Roman" w:eastAsia="Times New Roman" w:hAnsi="Times New Roman" w:cs="Times New Roman"/>
      <w:bCs/>
      <w:iCs/>
      <w:sz w:val="24"/>
      <w:szCs w:val="28"/>
      <w:lang w:val="en-GB"/>
    </w:rPr>
  </w:style>
  <w:style w:type="character" w:customStyle="1" w:styleId="Heading3Char">
    <w:name w:val="Heading 3 Char"/>
    <w:basedOn w:val="DefaultParagraphFont"/>
    <w:link w:val="Heading3"/>
    <w:uiPriority w:val="9"/>
    <w:rsid w:val="00085279"/>
    <w:rPr>
      <w:rFonts w:ascii="Book Antiqua" w:eastAsia="Times New Roman" w:hAnsi="Book Antiqua" w:cs="Times New Roman"/>
      <w:bCs/>
      <w:sz w:val="24"/>
      <w:szCs w:val="26"/>
      <w:lang w:val="en-GB"/>
    </w:rPr>
  </w:style>
  <w:style w:type="character" w:customStyle="1" w:styleId="Heading4Char">
    <w:name w:val="Heading 4 Char"/>
    <w:basedOn w:val="DefaultParagraphFont"/>
    <w:link w:val="Heading4"/>
    <w:uiPriority w:val="9"/>
    <w:rsid w:val="00085279"/>
    <w:rPr>
      <w:rFonts w:ascii="Times New Roman" w:eastAsia="Times New Roman" w:hAnsi="Times New Roman" w:cs="Times New Roman"/>
      <w:bCs/>
      <w:iCs/>
      <w:sz w:val="24"/>
      <w:szCs w:val="28"/>
      <w:lang w:val="en-GB"/>
    </w:rPr>
  </w:style>
  <w:style w:type="character" w:customStyle="1" w:styleId="Heading5Char">
    <w:name w:val="Heading 5 Char"/>
    <w:basedOn w:val="DefaultParagraphFont"/>
    <w:link w:val="Heading5"/>
    <w:uiPriority w:val="9"/>
    <w:rsid w:val="00085279"/>
    <w:rPr>
      <w:rFonts w:ascii="Cambria" w:eastAsia="Times New Roman" w:hAnsi="Cambria" w:cs="Times New Roman"/>
      <w:color w:val="243F60"/>
      <w:sz w:val="24"/>
      <w:szCs w:val="20"/>
      <w:lang w:val="en-US"/>
    </w:rPr>
  </w:style>
  <w:style w:type="character" w:customStyle="1" w:styleId="Heading6Char">
    <w:name w:val="Heading 6 Char"/>
    <w:basedOn w:val="DefaultParagraphFont"/>
    <w:link w:val="Heading6"/>
    <w:uiPriority w:val="9"/>
    <w:rsid w:val="00085279"/>
    <w:rPr>
      <w:rFonts w:ascii="Cambria" w:eastAsia="Times New Roman" w:hAnsi="Cambria" w:cs="Times New Roman"/>
      <w:i/>
      <w:iCs/>
      <w:color w:val="243F60"/>
      <w:sz w:val="24"/>
      <w:szCs w:val="20"/>
      <w:lang w:val="en-US"/>
    </w:rPr>
  </w:style>
  <w:style w:type="character" w:customStyle="1" w:styleId="Heading7Char">
    <w:name w:val="Heading 7 Char"/>
    <w:basedOn w:val="DefaultParagraphFont"/>
    <w:link w:val="Heading7"/>
    <w:uiPriority w:val="9"/>
    <w:semiHidden/>
    <w:rsid w:val="00085279"/>
    <w:rPr>
      <w:rFonts w:ascii="Cambria" w:eastAsia="Times New Roman" w:hAnsi="Cambria" w:cs="Times New Roman"/>
      <w:i/>
      <w:iCs/>
      <w:color w:val="404040"/>
      <w:sz w:val="24"/>
      <w:szCs w:val="20"/>
      <w:lang w:val="en-US"/>
    </w:rPr>
  </w:style>
  <w:style w:type="character" w:customStyle="1" w:styleId="Heading8Char">
    <w:name w:val="Heading 8 Char"/>
    <w:basedOn w:val="DefaultParagraphFont"/>
    <w:link w:val="Heading8"/>
    <w:uiPriority w:val="9"/>
    <w:semiHidden/>
    <w:rsid w:val="00085279"/>
    <w:rPr>
      <w:rFonts w:ascii="Cambria" w:eastAsia="Times New Roman" w:hAnsi="Cambria" w:cs="Times New Roman"/>
      <w:color w:val="404040"/>
      <w:sz w:val="20"/>
      <w:szCs w:val="20"/>
      <w:lang w:val="en-US"/>
    </w:rPr>
  </w:style>
  <w:style w:type="character" w:customStyle="1" w:styleId="Heading9Char">
    <w:name w:val="Heading 9 Char"/>
    <w:basedOn w:val="DefaultParagraphFont"/>
    <w:link w:val="Heading9"/>
    <w:uiPriority w:val="9"/>
    <w:semiHidden/>
    <w:rsid w:val="00085279"/>
    <w:rPr>
      <w:rFonts w:ascii="Book Antiqua" w:eastAsia="Times New Roman" w:hAnsi="Book Antiqua" w:cs="Times New Roman"/>
      <w:b/>
      <w:bCs/>
      <w:sz w:val="20"/>
      <w:szCs w:val="20"/>
      <w:shd w:val="pct25" w:color="auto" w:fill="auto"/>
      <w:lang w:val="en-GB"/>
    </w:rPr>
  </w:style>
  <w:style w:type="paragraph" w:styleId="ListParagraph">
    <w:name w:val="List Paragraph"/>
    <w:basedOn w:val="Heading4"/>
    <w:link w:val="ListParagraphChar"/>
    <w:uiPriority w:val="1"/>
    <w:qFormat/>
    <w:rsid w:val="00085279"/>
  </w:style>
  <w:style w:type="paragraph" w:customStyle="1" w:styleId="Verbatium">
    <w:name w:val="Verbatium"/>
    <w:basedOn w:val="ListParagraph"/>
    <w:link w:val="VerbatiumChar"/>
    <w:qFormat/>
    <w:rsid w:val="00085279"/>
    <w:pPr>
      <w:numPr>
        <w:ilvl w:val="0"/>
        <w:numId w:val="0"/>
      </w:numPr>
      <w:ind w:left="1440"/>
    </w:pPr>
    <w:rPr>
      <w:i/>
      <w:sz w:val="23"/>
      <w:szCs w:val="23"/>
      <w:lang w:val="en-US"/>
    </w:rPr>
  </w:style>
  <w:style w:type="character" w:customStyle="1" w:styleId="ListParagraphChar">
    <w:name w:val="List Paragraph Char"/>
    <w:link w:val="ListParagraph"/>
    <w:uiPriority w:val="1"/>
    <w:rsid w:val="00085279"/>
    <w:rPr>
      <w:rFonts w:ascii="Times New Roman" w:eastAsia="Times New Roman" w:hAnsi="Times New Roman" w:cs="Times New Roman"/>
      <w:bCs/>
      <w:iCs/>
      <w:sz w:val="24"/>
      <w:szCs w:val="28"/>
      <w:lang w:val="en-GB"/>
    </w:rPr>
  </w:style>
  <w:style w:type="character" w:customStyle="1" w:styleId="VerbatiumChar">
    <w:name w:val="Verbatium Char"/>
    <w:link w:val="Verbatium"/>
    <w:rsid w:val="00085279"/>
    <w:rPr>
      <w:rFonts w:ascii="Times New Roman" w:eastAsia="Times New Roman" w:hAnsi="Times New Roman" w:cs="Times New Roman"/>
      <w:bCs/>
      <w:i/>
      <w:iCs/>
      <w:sz w:val="23"/>
      <w:szCs w:val="23"/>
      <w:lang w:val="en-US"/>
    </w:rPr>
  </w:style>
  <w:style w:type="paragraph" w:styleId="Footer">
    <w:name w:val="footer"/>
    <w:basedOn w:val="Normal"/>
    <w:link w:val="FooterChar"/>
    <w:uiPriority w:val="99"/>
    <w:unhideWhenUsed/>
    <w:rsid w:val="00085279"/>
    <w:pPr>
      <w:tabs>
        <w:tab w:val="center" w:pos="4513"/>
        <w:tab w:val="right" w:pos="9026"/>
      </w:tabs>
      <w:spacing w:after="0" w:line="240" w:lineRule="auto"/>
    </w:pPr>
    <w:rPr>
      <w:szCs w:val="20"/>
    </w:rPr>
  </w:style>
  <w:style w:type="character" w:customStyle="1" w:styleId="FooterChar">
    <w:name w:val="Footer Char"/>
    <w:basedOn w:val="DefaultParagraphFont"/>
    <w:link w:val="Footer"/>
    <w:uiPriority w:val="99"/>
    <w:rsid w:val="00085279"/>
    <w:rPr>
      <w:rFonts w:ascii="Times New Roman" w:eastAsia="Calibri" w:hAnsi="Times New Roman" w:cs="Times New Roman"/>
      <w:sz w:val="24"/>
      <w:szCs w:val="20"/>
    </w:rPr>
  </w:style>
  <w:style w:type="character" w:styleId="CommentReference">
    <w:name w:val="annotation reference"/>
    <w:basedOn w:val="DefaultParagraphFont"/>
    <w:uiPriority w:val="99"/>
    <w:semiHidden/>
    <w:unhideWhenUsed/>
    <w:rsid w:val="000722A3"/>
    <w:rPr>
      <w:sz w:val="16"/>
      <w:szCs w:val="16"/>
    </w:rPr>
  </w:style>
  <w:style w:type="paragraph" w:styleId="CommentText">
    <w:name w:val="annotation text"/>
    <w:basedOn w:val="Normal"/>
    <w:link w:val="CommentTextChar"/>
    <w:uiPriority w:val="99"/>
    <w:semiHidden/>
    <w:unhideWhenUsed/>
    <w:rsid w:val="000722A3"/>
    <w:pPr>
      <w:spacing w:line="240" w:lineRule="auto"/>
    </w:pPr>
    <w:rPr>
      <w:sz w:val="20"/>
      <w:szCs w:val="20"/>
    </w:rPr>
  </w:style>
  <w:style w:type="character" w:customStyle="1" w:styleId="CommentTextChar">
    <w:name w:val="Comment Text Char"/>
    <w:basedOn w:val="DefaultParagraphFont"/>
    <w:link w:val="CommentText"/>
    <w:uiPriority w:val="99"/>
    <w:semiHidden/>
    <w:rsid w:val="000722A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22A3"/>
    <w:rPr>
      <w:b/>
      <w:bCs/>
    </w:rPr>
  </w:style>
  <w:style w:type="character" w:customStyle="1" w:styleId="CommentSubjectChar">
    <w:name w:val="Comment Subject Char"/>
    <w:basedOn w:val="CommentTextChar"/>
    <w:link w:val="CommentSubject"/>
    <w:uiPriority w:val="99"/>
    <w:semiHidden/>
    <w:rsid w:val="000722A3"/>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0722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2A3"/>
    <w:rPr>
      <w:rFonts w:ascii="Segoe UI" w:eastAsia="Calibri" w:hAnsi="Segoe UI" w:cs="Segoe UI"/>
      <w:sz w:val="18"/>
      <w:szCs w:val="18"/>
    </w:rPr>
  </w:style>
  <w:style w:type="paragraph" w:styleId="Revision">
    <w:name w:val="Revision"/>
    <w:hidden/>
    <w:uiPriority w:val="99"/>
    <w:semiHidden/>
    <w:rsid w:val="00F95243"/>
    <w:pPr>
      <w:spacing w:after="0" w:line="240" w:lineRule="auto"/>
    </w:pPr>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5</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ABPS</dc:creator>
  <cp:keywords/>
  <dc:description/>
  <cp:lastModifiedBy>haresh.satapathy</cp:lastModifiedBy>
  <cp:revision>156</cp:revision>
  <cp:lastPrinted>2023-01-27T05:40:00Z</cp:lastPrinted>
  <dcterms:created xsi:type="dcterms:W3CDTF">2021-01-28T02:32:00Z</dcterms:created>
  <dcterms:modified xsi:type="dcterms:W3CDTF">2023-01-27T05:51:00Z</dcterms:modified>
</cp:coreProperties>
</file>